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93BB" w14:textId="77777777" w:rsidR="000828D1" w:rsidRPr="00B97BE9" w:rsidRDefault="004119BD" w:rsidP="00B97BE9">
      <w:r>
        <w:rPr>
          <w:noProof/>
        </w:rPr>
        <mc:AlternateContent>
          <mc:Choice Requires="wps">
            <w:drawing>
              <wp:anchor distT="0" distB="0" distL="114300" distR="114300" simplePos="0" relativeHeight="251661312" behindDoc="0" locked="0" layoutInCell="1" allowOverlap="1" wp14:anchorId="618A42AD" wp14:editId="102CD6CB">
                <wp:simplePos x="0" y="0"/>
                <wp:positionH relativeFrom="margin">
                  <wp:align>right</wp:align>
                </wp:positionH>
                <wp:positionV relativeFrom="paragraph">
                  <wp:posOffset>-27568</wp:posOffset>
                </wp:positionV>
                <wp:extent cx="5785945" cy="3137338"/>
                <wp:effectExtent l="0" t="0" r="0" b="6350"/>
                <wp:wrapNone/>
                <wp:docPr id="378319994" name="Text Box 22"/>
                <wp:cNvGraphicFramePr/>
                <a:graphic xmlns:a="http://schemas.openxmlformats.org/drawingml/2006/main">
                  <a:graphicData uri="http://schemas.microsoft.com/office/word/2010/wordprocessingShape">
                    <wps:wsp>
                      <wps:cNvSpPr txBox="1"/>
                      <wps:spPr>
                        <a:xfrm>
                          <a:off x="0" y="0"/>
                          <a:ext cx="5785945" cy="3137338"/>
                        </a:xfrm>
                        <a:prstGeom prst="rect">
                          <a:avLst/>
                        </a:prstGeom>
                        <a:noFill/>
                        <a:ln w="6350">
                          <a:noFill/>
                        </a:ln>
                      </wps:spPr>
                      <wps:txbx>
                        <w:txbxContent>
                          <w:p w14:paraId="6CEB94D5" w14:textId="02C36FDE" w:rsidR="004119BD" w:rsidRDefault="00A95C5D">
                            <w:pPr>
                              <w:rPr>
                                <w:color w:val="F0F1F0" w:themeColor="background2"/>
                                <w:sz w:val="72"/>
                                <w:szCs w:val="72"/>
                              </w:rPr>
                            </w:pPr>
                            <w:r w:rsidRPr="00A95C5D">
                              <w:rPr>
                                <w:color w:val="F0F1F0" w:themeColor="background2"/>
                                <w:sz w:val="72"/>
                                <w:szCs w:val="72"/>
                              </w:rPr>
                              <w:t>AI HR Technology</w:t>
                            </w:r>
                          </w:p>
                          <w:p w14:paraId="12F41C90" w14:textId="1B6A1B56" w:rsidR="00A95C5D" w:rsidRDefault="00A95C5D">
                            <w:pPr>
                              <w:rPr>
                                <w:color w:val="F0F1F0" w:themeColor="background2"/>
                                <w:sz w:val="72"/>
                                <w:szCs w:val="72"/>
                              </w:rPr>
                            </w:pPr>
                            <w:r w:rsidRPr="00A95C5D">
                              <w:rPr>
                                <w:color w:val="F0F1F0" w:themeColor="background2"/>
                                <w:sz w:val="72"/>
                                <w:szCs w:val="72"/>
                              </w:rPr>
                              <w:t>Compliance Checklist</w:t>
                            </w:r>
                          </w:p>
                          <w:p w14:paraId="24B9AEE9" w14:textId="0CBF544D" w:rsidR="004119BD" w:rsidRDefault="00A95C5D">
                            <w:pPr>
                              <w:rPr>
                                <w:color w:val="F0F1F0" w:themeColor="background2"/>
                                <w:sz w:val="36"/>
                                <w:szCs w:val="36"/>
                              </w:rPr>
                            </w:pPr>
                            <w:r w:rsidRPr="00A95C5D">
                              <w:rPr>
                                <w:color w:val="F0F1F0" w:themeColor="background2"/>
                                <w:sz w:val="36"/>
                                <w:szCs w:val="36"/>
                              </w:rPr>
                              <w:t>United Kingdom Jurisdiction</w:t>
                            </w:r>
                          </w:p>
                          <w:p w14:paraId="0277DA1E" w14:textId="02295679" w:rsidR="004119BD" w:rsidRDefault="004119BD">
                            <w:pPr>
                              <w:rPr>
                                <w:color w:val="F0F1F0" w:themeColor="background2"/>
                                <w:sz w:val="24"/>
                              </w:rPr>
                            </w:pPr>
                            <w:r w:rsidRPr="004119BD">
                              <w:rPr>
                                <w:color w:val="F0F1F0" w:themeColor="background2"/>
                                <w:sz w:val="24"/>
                              </w:rPr>
                              <w:t>Date</w:t>
                            </w:r>
                            <w:r>
                              <w:rPr>
                                <w:color w:val="F0F1F0" w:themeColor="background2"/>
                                <w:sz w:val="24"/>
                              </w:rPr>
                              <w:t>:</w:t>
                            </w:r>
                            <w:r w:rsidR="00A95C5D">
                              <w:rPr>
                                <w:color w:val="F0F1F0" w:themeColor="background2"/>
                                <w:sz w:val="24"/>
                              </w:rPr>
                              <w:t xml:space="preserve"> January</w:t>
                            </w:r>
                            <w:r w:rsidR="00A95C5D" w:rsidRPr="00A95C5D">
                              <w:rPr>
                                <w:color w:val="F0F1F0" w:themeColor="background2"/>
                                <w:sz w:val="24"/>
                              </w:rPr>
                              <w:t xml:space="preserve"> 25, 2025</w:t>
                            </w:r>
                          </w:p>
                          <w:p w14:paraId="4AF77096" w14:textId="77777777" w:rsidR="004119BD" w:rsidRPr="004119BD" w:rsidRDefault="004119BD">
                            <w:pPr>
                              <w:rPr>
                                <w:color w:val="F0F1F0" w:themeColor="background2"/>
                                <w:sz w:val="24"/>
                              </w:rPr>
                            </w:pPr>
                            <w:r>
                              <w:rPr>
                                <w:color w:val="F0F1F0" w:themeColor="background2"/>
                                <w:sz w:val="24"/>
                              </w:rPr>
                              <w:t xml:space="preserve">Author: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A42AD" id="_x0000_t202" coordsize="21600,21600" o:spt="202" path="m,l,21600r21600,l21600,xe">
                <v:stroke joinstyle="miter"/>
                <v:path gradientshapeok="t" o:connecttype="rect"/>
              </v:shapetype>
              <v:shape id="Text Box 22" o:spid="_x0000_s1026" type="#_x0000_t202" style="position:absolute;margin-left:404.4pt;margin-top:-2.15pt;width:455.6pt;height:24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r4GQIAAC0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" filled="f" stroked="f" strokeweight=".5pt">
                <v:textbox>
                  <w:txbxContent>
                    <w:p w14:paraId="6CEB94D5" w14:textId="02C36FDE" w:rsidR="004119BD" w:rsidRDefault="00A95C5D">
                      <w:pPr>
                        <w:rPr>
                          <w:color w:val="F0F1F0" w:themeColor="background2"/>
                          <w:sz w:val="72"/>
                          <w:szCs w:val="72"/>
                        </w:rPr>
                      </w:pPr>
                      <w:r w:rsidRPr="00A95C5D">
                        <w:rPr>
                          <w:color w:val="F0F1F0" w:themeColor="background2"/>
                          <w:sz w:val="72"/>
                          <w:szCs w:val="72"/>
                        </w:rPr>
                        <w:t>AI HR Technology</w:t>
                      </w:r>
                    </w:p>
                    <w:p w14:paraId="12F41C90" w14:textId="1B6A1B56" w:rsidR="00A95C5D" w:rsidRDefault="00A95C5D">
                      <w:pPr>
                        <w:rPr>
                          <w:color w:val="F0F1F0" w:themeColor="background2"/>
                          <w:sz w:val="72"/>
                          <w:szCs w:val="72"/>
                        </w:rPr>
                      </w:pPr>
                      <w:r w:rsidRPr="00A95C5D">
                        <w:rPr>
                          <w:color w:val="F0F1F0" w:themeColor="background2"/>
                          <w:sz w:val="72"/>
                          <w:szCs w:val="72"/>
                        </w:rPr>
                        <w:t>Compliance Checklist</w:t>
                      </w:r>
                    </w:p>
                    <w:p w14:paraId="24B9AEE9" w14:textId="0CBF544D" w:rsidR="004119BD" w:rsidRDefault="00A95C5D">
                      <w:pPr>
                        <w:rPr>
                          <w:color w:val="F0F1F0" w:themeColor="background2"/>
                          <w:sz w:val="36"/>
                          <w:szCs w:val="36"/>
                        </w:rPr>
                      </w:pPr>
                      <w:r w:rsidRPr="00A95C5D">
                        <w:rPr>
                          <w:color w:val="F0F1F0" w:themeColor="background2"/>
                          <w:sz w:val="36"/>
                          <w:szCs w:val="36"/>
                        </w:rPr>
                        <w:t>United Kingdom Jurisdiction</w:t>
                      </w:r>
                    </w:p>
                    <w:p w14:paraId="0277DA1E" w14:textId="02295679" w:rsidR="004119BD" w:rsidRDefault="004119BD">
                      <w:pPr>
                        <w:rPr>
                          <w:color w:val="F0F1F0" w:themeColor="background2"/>
                          <w:sz w:val="24"/>
                        </w:rPr>
                      </w:pPr>
                      <w:r w:rsidRPr="004119BD">
                        <w:rPr>
                          <w:color w:val="F0F1F0" w:themeColor="background2"/>
                          <w:sz w:val="24"/>
                        </w:rPr>
                        <w:t>Date</w:t>
                      </w:r>
                      <w:r>
                        <w:rPr>
                          <w:color w:val="F0F1F0" w:themeColor="background2"/>
                          <w:sz w:val="24"/>
                        </w:rPr>
                        <w:t>:</w:t>
                      </w:r>
                      <w:r w:rsidR="00A95C5D">
                        <w:rPr>
                          <w:color w:val="F0F1F0" w:themeColor="background2"/>
                          <w:sz w:val="24"/>
                        </w:rPr>
                        <w:t xml:space="preserve"> January</w:t>
                      </w:r>
                      <w:r w:rsidR="00A95C5D" w:rsidRPr="00A95C5D">
                        <w:rPr>
                          <w:color w:val="F0F1F0" w:themeColor="background2"/>
                          <w:sz w:val="24"/>
                        </w:rPr>
                        <w:t xml:space="preserve"> 25, 2025</w:t>
                      </w:r>
                    </w:p>
                    <w:p w14:paraId="4AF77096" w14:textId="77777777" w:rsidR="004119BD" w:rsidRPr="004119BD" w:rsidRDefault="004119BD">
                      <w:pPr>
                        <w:rPr>
                          <w:color w:val="F0F1F0" w:themeColor="background2"/>
                          <w:sz w:val="24"/>
                        </w:rPr>
                      </w:pPr>
                      <w:r>
                        <w:rPr>
                          <w:color w:val="F0F1F0" w:themeColor="background2"/>
                          <w:sz w:val="24"/>
                        </w:rPr>
                        <w:t xml:space="preserve">Author: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2338EB76" wp14:editId="59ADCCCE">
                <wp:simplePos x="0" y="0"/>
                <wp:positionH relativeFrom="column">
                  <wp:posOffset>-2506608</wp:posOffset>
                </wp:positionH>
                <wp:positionV relativeFrom="paragraph">
                  <wp:posOffset>3267403</wp:posOffset>
                </wp:positionV>
                <wp:extent cx="8575959" cy="8024648"/>
                <wp:effectExtent l="0" t="0" r="0" b="0"/>
                <wp:wrapNone/>
                <wp:docPr id="718901315" name="Text Box 21"/>
                <wp:cNvGraphicFramePr/>
                <a:graphic xmlns:a="http://schemas.openxmlformats.org/drawingml/2006/main">
                  <a:graphicData uri="http://schemas.microsoft.com/office/word/2010/wordprocessingShape">
                    <wps:wsp>
                      <wps:cNvSpPr txBox="1"/>
                      <wps:spPr>
                        <a:xfrm>
                          <a:off x="0" y="0"/>
                          <a:ext cx="8575959" cy="8024648"/>
                        </a:xfrm>
                        <a:prstGeom prst="rect">
                          <a:avLst/>
                        </a:prstGeom>
                        <a:solidFill>
                          <a:schemeClr val="tx1"/>
                        </a:solidFill>
                        <a:ln w="6350">
                          <a:noFill/>
                        </a:ln>
                      </wps:spPr>
                      <wps:txbx>
                        <w:txbxContent>
                          <w:p w14:paraId="51A2BF6E" w14:textId="77777777" w:rsidR="004119BD" w:rsidRDefault="004119BD" w:rsidP="004119BD">
                            <w:pPr>
                              <w:shd w:val="clear" w:color="auto" w:fill="212A47" w:themeFill="text1"/>
                            </w:pPr>
                            <w:r>
                              <w:br/>
                            </w:r>
                            <w:r>
                              <w:rPr>
                                <w:noProof/>
                                <w:color w:val="F0F1F0" w:themeColor="background2"/>
                                <w:sz w:val="64"/>
                                <w:szCs w:val="64"/>
                              </w:rPr>
                              <w:drawing>
                                <wp:inline distT="0" distB="0" distL="0" distR="0" wp14:anchorId="7418C9E9" wp14:editId="7606F58A">
                                  <wp:extent cx="7038807" cy="6573856"/>
                                  <wp:effectExtent l="0" t="0" r="0" b="0"/>
                                  <wp:docPr id="1166222440" name="Picture 20"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22440" name="Picture 20" descr="A logo with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053602" cy="65876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8EB76" id="Text Box 21" o:spid="_x0000_s1027" type="#_x0000_t202" style="position:absolute;margin-left:-197.35pt;margin-top:257.3pt;width:675.25pt;height:63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" fillcolor="#212a47 [3213]" stroked="f" strokeweight=".5pt">
                <v:textbox>
                  <w:txbxContent>
                    <w:p w14:paraId="51A2BF6E" w14:textId="77777777" w:rsidR="004119BD" w:rsidRDefault="004119BD" w:rsidP="004119BD">
                      <w:pPr>
                        <w:shd w:val="clear" w:color="auto" w:fill="212A47" w:themeFill="text1"/>
                      </w:pPr>
                      <w:r>
                        <w:br/>
                      </w:r>
                      <w:r>
                        <w:rPr>
                          <w:noProof/>
                          <w:color w:val="F0F1F0" w:themeColor="background2"/>
                          <w:sz w:val="64"/>
                          <w:szCs w:val="64"/>
                        </w:rPr>
                        <w:drawing>
                          <wp:inline distT="0" distB="0" distL="0" distR="0" wp14:anchorId="7418C9E9" wp14:editId="7606F58A">
                            <wp:extent cx="7038807" cy="6573856"/>
                            <wp:effectExtent l="0" t="0" r="0" b="0"/>
                            <wp:docPr id="1166222440" name="Picture 20"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22440" name="Picture 20" descr="A logo with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053602" cy="6587674"/>
                                    </a:xfrm>
                                    <a:prstGeom prst="rect">
                                      <a:avLst/>
                                    </a:prstGeom>
                                  </pic:spPr>
                                </pic:pic>
                              </a:graphicData>
                            </a:graphic>
                          </wp:inline>
                        </w:drawing>
                      </w:r>
                    </w:p>
                  </w:txbxContent>
                </v:textbox>
              </v:shape>
            </w:pict>
          </mc:Fallback>
        </mc:AlternateContent>
      </w:r>
      <w:r w:rsidR="00B97BE9">
        <w:rPr>
          <w:noProof/>
        </w:rPr>
        <mc:AlternateContent>
          <mc:Choice Requires="wps">
            <w:drawing>
              <wp:anchor distT="0" distB="0" distL="114300" distR="114300" simplePos="0" relativeHeight="251659264" behindDoc="1" locked="0" layoutInCell="1" allowOverlap="1" wp14:anchorId="7B96EADA" wp14:editId="67BC9C3D">
                <wp:simplePos x="0" y="0"/>
                <wp:positionH relativeFrom="page">
                  <wp:align>left</wp:align>
                </wp:positionH>
                <wp:positionV relativeFrom="paragraph">
                  <wp:posOffset>-1225747</wp:posOffset>
                </wp:positionV>
                <wp:extent cx="7578725" cy="10720070"/>
                <wp:effectExtent l="0" t="0" r="22225" b="24130"/>
                <wp:wrapNone/>
                <wp:docPr id="741942727" name="Rectangle 3"/>
                <wp:cNvGraphicFramePr/>
                <a:graphic xmlns:a="http://schemas.openxmlformats.org/drawingml/2006/main">
                  <a:graphicData uri="http://schemas.microsoft.com/office/word/2010/wordprocessingShape">
                    <wps:wsp>
                      <wps:cNvSpPr/>
                      <wps:spPr>
                        <a:xfrm>
                          <a:off x="0" y="0"/>
                          <a:ext cx="7578725" cy="1072007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89FEA8" w14:textId="77777777" w:rsidR="00B97BE9" w:rsidRPr="004119BD" w:rsidRDefault="00B97BE9" w:rsidP="00B97BE9">
                            <w:pPr>
                              <w:ind w:left="1701" w:right="1696"/>
                              <w:rPr>
                                <w:color w:val="F0F1F0" w:themeColor="background2"/>
                                <w:sz w:val="64"/>
                                <w:szCs w:val="6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6EADA" id="Rectangle 3" o:spid="_x0000_s1028" style="position:absolute;margin-left:0;margin-top:-96.5pt;width:596.75pt;height:844.1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" fillcolor="#212a47 [3213]" strokecolor="#101423 [484]" strokeweight="1.5pt">
                <v:textbox>
                  <w:txbxContent>
                    <w:p w14:paraId="1089FEA8" w14:textId="77777777" w:rsidR="00B97BE9" w:rsidRPr="004119BD" w:rsidRDefault="00B97BE9" w:rsidP="00B97BE9">
                      <w:pPr>
                        <w:ind w:left="1701" w:right="1696"/>
                        <w:rPr>
                          <w:color w:val="F0F1F0" w:themeColor="background2"/>
                          <w:sz w:val="64"/>
                          <w:szCs w:val="64"/>
                        </w:rPr>
                      </w:pPr>
                    </w:p>
                  </w:txbxContent>
                </v:textbox>
                <w10:wrap anchorx="page"/>
              </v:rect>
            </w:pict>
          </mc:Fallback>
        </mc:AlternateContent>
      </w:r>
      <w:r w:rsidR="000828D1" w:rsidRPr="00B97BE9">
        <w:rPr>
          <w:sz w:val="64"/>
          <w:szCs w:val="64"/>
        </w:rPr>
        <w:br w:type="page"/>
      </w:r>
    </w:p>
    <w:p w14:paraId="441DEBED" w14:textId="77777777" w:rsidR="00D37078" w:rsidRPr="00D37078" w:rsidRDefault="00D37078" w:rsidP="00A95C5D">
      <w:pPr>
        <w:pStyle w:val="Title"/>
      </w:pPr>
      <w:r w:rsidRPr="00D37078">
        <w:lastRenderedPageBreak/>
        <w:t>Executive Summary</w:t>
      </w:r>
    </w:p>
    <w:p w14:paraId="4AF0C900" w14:textId="77777777" w:rsidR="00D37078" w:rsidRPr="00D37078" w:rsidRDefault="00D37078" w:rsidP="00D37078">
      <w:r w:rsidRPr="00D37078">
        <w:t>This compliance checklist provides UK talent acquisition teams with a comprehensive framework for evaluating AI HR technology solutions in accordance with current and emerging UK regulatory requirements. The checklist addresses data protection obligations under UK GDPR, employment law considerations under the Equality Act 2010, cybersecurity requirements, and anticipated changes from the Data (Use and Access) Act 2025.</w:t>
      </w:r>
    </w:p>
    <w:p w14:paraId="0AEFB44B" w14:textId="77777777" w:rsidR="00A95C5D" w:rsidRPr="00A95C5D" w:rsidRDefault="00D37078" w:rsidP="00D37078">
      <w:pPr>
        <w:rPr>
          <w:rStyle w:val="Strong"/>
        </w:rPr>
      </w:pPr>
      <w:r w:rsidRPr="00A95C5D">
        <w:rPr>
          <w:rStyle w:val="Strong"/>
        </w:rPr>
        <w:t xml:space="preserve">Critical Context: </w:t>
      </w:r>
    </w:p>
    <w:p w14:paraId="125BE00A" w14:textId="6D8463A5" w:rsidR="00D37078" w:rsidRPr="00D37078" w:rsidRDefault="00D37078" w:rsidP="00D37078">
      <w:r w:rsidRPr="00D37078">
        <w:t>The UK has diverged significantly from EU regulatory approaches post-Brexit, creating a distinct compliance landscape. The ICO's November 2024 AI recruitment audits resulted in nearly 300 recommendations for improvement, highlighting systemic compliance failures across the industry. Non-compliance risks include unlimited compensation awards for discrimination claims, ICO fines up to £17.5 million or 4% of annual turnover, and upcoming cybersecurity penalties reaching £10 million.</w:t>
      </w:r>
    </w:p>
    <w:p w14:paraId="5CFA3334" w14:textId="77777777" w:rsidR="00A95C5D" w:rsidRPr="00A95C5D" w:rsidRDefault="00D37078" w:rsidP="00D37078">
      <w:pPr>
        <w:rPr>
          <w:rStyle w:val="Strong"/>
        </w:rPr>
      </w:pPr>
      <w:r w:rsidRPr="00A95C5D">
        <w:rPr>
          <w:rStyle w:val="Strong"/>
        </w:rPr>
        <w:t xml:space="preserve">Purpose: </w:t>
      </w:r>
    </w:p>
    <w:p w14:paraId="69AEADB5" w14:textId="28E464C2" w:rsidR="00D37078" w:rsidRPr="00D37078" w:rsidRDefault="00D37078" w:rsidP="00D37078">
      <w:r w:rsidRPr="00D37078">
        <w:t>This document serves as a practical evaluation tool for assessing AI HR technology vendors and internal deployment readiness. Each checkpoint includes regulatory rationale, implementation guidance, and risk assessment criteria to enable informed decision-making by non-compliance specialists.</w:t>
      </w:r>
    </w:p>
    <w:p w14:paraId="04DA8518" w14:textId="77777777" w:rsidR="00A95C5D" w:rsidRDefault="00A95C5D" w:rsidP="00D37078"/>
    <w:p w14:paraId="622136E8" w14:textId="77777777" w:rsidR="00A95C5D" w:rsidRDefault="00A95C5D">
      <w:pPr>
        <w:spacing w:after="160" w:line="278" w:lineRule="auto"/>
      </w:pPr>
      <w:r>
        <w:br w:type="page"/>
      </w:r>
    </w:p>
    <w:p w14:paraId="6C0A910B" w14:textId="5441247A" w:rsidR="00D37078" w:rsidRPr="00A95C5D" w:rsidRDefault="00D37078" w:rsidP="00A95C5D">
      <w:pPr>
        <w:pStyle w:val="Title"/>
      </w:pPr>
      <w:r w:rsidRPr="00A95C5D">
        <w:lastRenderedPageBreak/>
        <w:t>Section 1: Data Protection and Privacy Compliance</w:t>
      </w:r>
    </w:p>
    <w:p w14:paraId="6C6B3320" w14:textId="77777777" w:rsidR="00D37078" w:rsidRPr="00A95C5D" w:rsidRDefault="00D37078" w:rsidP="00A95C5D">
      <w:pPr>
        <w:pStyle w:val="Subtitle"/>
      </w:pPr>
      <w:r w:rsidRPr="00A95C5D">
        <w:t>1.1 UK GDPR Article 22 Compliance</w:t>
      </w:r>
    </w:p>
    <w:p w14:paraId="679554A0" w14:textId="77777777" w:rsidR="00D37078" w:rsidRPr="00D37078" w:rsidRDefault="00D37078" w:rsidP="00D37078">
      <w:r w:rsidRPr="00D37078">
        <w:rPr>
          <w:b/>
          <w:bCs/>
        </w:rPr>
        <w:t>Regulation:</w:t>
      </w:r>
      <w:r w:rsidRPr="00D37078">
        <w:t xml:space="preserve"> UK GDPR Article 22, Data Protection Act 2018 Sections 50A-50D</w:t>
      </w:r>
      <w:r w:rsidRPr="00D37078">
        <w:br/>
      </w:r>
      <w:r w:rsidRPr="00D37078">
        <w:rPr>
          <w:b/>
          <w:bCs/>
        </w:rPr>
        <w:t>Risk Level:</w:t>
      </w:r>
      <w:r w:rsidRPr="00D37078">
        <w:t xml:space="preserve"> HIGH - ICO enforcement priority area</w:t>
      </w:r>
    </w:p>
    <w:p w14:paraId="66DC5DA8" w14:textId="77777777" w:rsidR="00D37078" w:rsidRPr="00D37078" w:rsidRDefault="00D37078" w:rsidP="00A95C5D">
      <w:pPr>
        <w:pStyle w:val="SectionHeading"/>
      </w:pPr>
      <w:r w:rsidRPr="00D37078">
        <w:t>Checkpoint 1.1.1: Automated Decision-Making Assessment</w:t>
      </w:r>
    </w:p>
    <w:p w14:paraId="2F01E693" w14:textId="26FE3DF7" w:rsidR="00D37078" w:rsidRPr="00D37078" w:rsidRDefault="00D37078" w:rsidP="00A95C5D">
      <w:pPr>
        <w:pStyle w:val="BulletList"/>
      </w:pPr>
      <w:proofErr w:type="gramStart"/>
      <w:r w:rsidRPr="00D37078">
        <w:t>[ ]</w:t>
      </w:r>
      <w:r w:rsidRPr="00D37078">
        <w:rPr>
          <w:b/>
          <w:bCs/>
        </w:rPr>
        <w:t>System</w:t>
      </w:r>
      <w:proofErr w:type="gramEnd"/>
      <w:r w:rsidRPr="00D37078">
        <w:rPr>
          <w:b/>
          <w:bCs/>
        </w:rPr>
        <w:t xml:space="preserve"> Classification:</w:t>
      </w:r>
      <w:r w:rsidRPr="00D37078">
        <w:t xml:space="preserve"> Confirm whether the AI system makes decisions that produce legal or similarly significant effects</w:t>
      </w:r>
    </w:p>
    <w:p w14:paraId="76F7687F"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Human Oversight Mechanism:</w:t>
      </w:r>
      <w:r w:rsidRPr="00D37078">
        <w:t xml:space="preserve"> Verify meaningful human involvement in final employment decisions</w:t>
      </w:r>
    </w:p>
    <w:p w14:paraId="0C70BAD7"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Exception Analysis:</w:t>
      </w:r>
      <w:r w:rsidRPr="00D37078">
        <w:t xml:space="preserve"> Document reliance on legitimate interests, vital interests, or explicit consent</w:t>
      </w:r>
    </w:p>
    <w:p w14:paraId="5BBC7064"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Safeguards Implementation:</w:t>
      </w:r>
      <w:r w:rsidRPr="00D37078">
        <w:t xml:space="preserve"> Ensure right to obtain human intervention, express point of view, and contest decisions</w:t>
      </w:r>
    </w:p>
    <w:p w14:paraId="6730A58F" w14:textId="77777777" w:rsidR="00D37078" w:rsidRPr="00D37078" w:rsidRDefault="00D37078" w:rsidP="00D37078">
      <w:r w:rsidRPr="00D37078">
        <w:rPr>
          <w:b/>
          <w:bCs/>
        </w:rPr>
        <w:t>Objective:</w:t>
      </w:r>
      <w:r w:rsidRPr="00D37078">
        <w:t xml:space="preserve"> Prevent solely automated decision-making violations that could result in ICO enforcement action</w:t>
      </w:r>
      <w:r w:rsidRPr="00D37078">
        <w:br/>
      </w:r>
      <w:r w:rsidRPr="00D37078">
        <w:rPr>
          <w:b/>
          <w:bCs/>
        </w:rPr>
        <w:t>Implementation:</w:t>
      </w:r>
      <w:r w:rsidRPr="00D37078">
        <w:t xml:space="preserve"> Require vendor documentation of human oversight procedures and decision escalation pathways</w:t>
      </w:r>
    </w:p>
    <w:p w14:paraId="504C5B1B" w14:textId="77777777" w:rsidR="00D37078" w:rsidRPr="00D37078" w:rsidRDefault="00D37078" w:rsidP="00A95C5D">
      <w:pPr>
        <w:pStyle w:val="SectionHeading"/>
      </w:pPr>
      <w:r w:rsidRPr="00D37078">
        <w:t>Checkpoint 1.1.2: Transparency and Information Rights</w:t>
      </w:r>
    </w:p>
    <w:p w14:paraId="1C4FF3D3"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Privacy Notice Updates:</w:t>
      </w:r>
      <w:r w:rsidRPr="00D37078">
        <w:t xml:space="preserve"> Confirm job postings and application processes disclose AI use</w:t>
      </w:r>
    </w:p>
    <w:p w14:paraId="4249B766"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Decision Logic Explanation:</w:t>
      </w:r>
      <w:r w:rsidRPr="00D37078">
        <w:t xml:space="preserve"> Verify availability of meaningful information about automated logic</w:t>
      </w:r>
    </w:p>
    <w:p w14:paraId="210DA46A"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Data Subject Rights:</w:t>
      </w:r>
      <w:r w:rsidRPr="00D37078">
        <w:t xml:space="preserve"> Implement access, rectification, erasure, and portability mechanisms</w:t>
      </w:r>
    </w:p>
    <w:p w14:paraId="2369409D" w14:textId="77777777" w:rsidR="00D37078" w:rsidRPr="00D37078" w:rsidRDefault="00D37078" w:rsidP="00A95C5D">
      <w:pPr>
        <w:pStyle w:val="BulletList"/>
      </w:pPr>
      <w:proofErr w:type="gramStart"/>
      <w:r w:rsidRPr="00D37078">
        <w:lastRenderedPageBreak/>
        <w:t>[ ]</w:t>
      </w:r>
      <w:proofErr w:type="gramEnd"/>
      <w:r w:rsidRPr="00D37078">
        <w:t xml:space="preserve"> </w:t>
      </w:r>
      <w:r w:rsidRPr="00D37078">
        <w:rPr>
          <w:b/>
          <w:bCs/>
        </w:rPr>
        <w:t>Retention Schedules:</w:t>
      </w:r>
      <w:r w:rsidRPr="00D37078">
        <w:t xml:space="preserve"> Establish clear data deletion timelines aligned with business necessity</w:t>
      </w:r>
    </w:p>
    <w:p w14:paraId="17E0932A" w14:textId="77777777" w:rsidR="00D37078" w:rsidRPr="00D37078" w:rsidRDefault="00D37078" w:rsidP="00D37078">
      <w:r w:rsidRPr="00D37078">
        <w:rPr>
          <w:b/>
          <w:bCs/>
        </w:rPr>
        <w:t>Objective:</w:t>
      </w:r>
      <w:r w:rsidRPr="00D37078">
        <w:t xml:space="preserve"> </w:t>
      </w:r>
      <w:proofErr w:type="spellStart"/>
      <w:r w:rsidRPr="00D37078">
        <w:t>Fulfill</w:t>
      </w:r>
      <w:proofErr w:type="spellEnd"/>
      <w:r w:rsidRPr="00D37078">
        <w:t xml:space="preserve"> ICO transparency expectations and prevent data subject rights violations</w:t>
      </w:r>
      <w:r w:rsidRPr="00D37078">
        <w:br/>
      </w:r>
      <w:r w:rsidRPr="00D37078">
        <w:rPr>
          <w:b/>
          <w:bCs/>
        </w:rPr>
        <w:t>Implementation:</w:t>
      </w:r>
      <w:r w:rsidRPr="00D37078">
        <w:t xml:space="preserve"> Develop standardized candidate notification templates and data subject response procedures</w:t>
      </w:r>
    </w:p>
    <w:p w14:paraId="1D7A7AB7" w14:textId="77777777" w:rsidR="00D37078" w:rsidRPr="00D37078" w:rsidRDefault="00D37078" w:rsidP="00A95C5D">
      <w:pPr>
        <w:pStyle w:val="Subtitle"/>
      </w:pPr>
      <w:r w:rsidRPr="00D37078">
        <w:t>1.2 Data (Use and Access) Act 2025 Implications</w:t>
      </w:r>
    </w:p>
    <w:p w14:paraId="7EC28AC1" w14:textId="77777777" w:rsidR="00D37078" w:rsidRPr="00D37078" w:rsidRDefault="00D37078" w:rsidP="00D37078">
      <w:r w:rsidRPr="00D37078">
        <w:rPr>
          <w:b/>
          <w:bCs/>
        </w:rPr>
        <w:t>Regulation:</w:t>
      </w:r>
      <w:r w:rsidRPr="00D37078">
        <w:t xml:space="preserve"> Data (Use and Access) Act 2025 (Royal Assent: June 19, 2025)</w:t>
      </w:r>
      <w:r w:rsidRPr="00D37078">
        <w:br/>
      </w:r>
      <w:r w:rsidRPr="00D37078">
        <w:rPr>
          <w:b/>
          <w:bCs/>
        </w:rPr>
        <w:t>Risk Level:</w:t>
      </w:r>
      <w:r w:rsidRPr="00D37078">
        <w:t xml:space="preserve"> MEDIUM - Phased implementation over 2-12 months</w:t>
      </w:r>
    </w:p>
    <w:p w14:paraId="08520ADF" w14:textId="77777777" w:rsidR="00D37078" w:rsidRPr="00D37078" w:rsidRDefault="00D37078" w:rsidP="00A95C5D">
      <w:pPr>
        <w:pStyle w:val="SectionHeading"/>
      </w:pPr>
      <w:r w:rsidRPr="00D37078">
        <w:t>Checkpoint 1.2.1: Liberalized Automated Decision-Making</w:t>
      </w:r>
    </w:p>
    <w:p w14:paraId="4E77D11F"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New Framework Assessment:</w:t>
      </w:r>
      <w:r w:rsidRPr="00D37078">
        <w:t xml:space="preserve"> Review expanded automated decision-making permissions</w:t>
      </w:r>
    </w:p>
    <w:p w14:paraId="659E705F"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Complaint Rights:</w:t>
      </w:r>
      <w:r w:rsidRPr="00D37078">
        <w:t xml:space="preserve"> Implement Section 164A complaint mechanisms</w:t>
      </w:r>
    </w:p>
    <w:p w14:paraId="0A49CBC0"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Transitional Provisions:</w:t>
      </w:r>
      <w:r w:rsidRPr="00D37078">
        <w:t xml:space="preserve"> Plan for phased compliance implementation</w:t>
      </w:r>
    </w:p>
    <w:p w14:paraId="4C1A330E"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ICO Guidance Integration:</w:t>
      </w:r>
      <w:r w:rsidRPr="00D37078">
        <w:t xml:space="preserve"> Monitor forthcoming ICO guidance updates (expected winter 2025/26)</w:t>
      </w:r>
    </w:p>
    <w:p w14:paraId="242583AB" w14:textId="77777777" w:rsidR="00D37078" w:rsidRPr="00D37078" w:rsidRDefault="00D37078" w:rsidP="00D37078">
      <w:r w:rsidRPr="00D37078">
        <w:rPr>
          <w:b/>
          <w:bCs/>
        </w:rPr>
        <w:t>Objective:</w:t>
      </w:r>
      <w:r w:rsidRPr="00D37078">
        <w:t xml:space="preserve"> Leverage new regulatory flexibilities while maintaining appropriate safeguards</w:t>
      </w:r>
      <w:r w:rsidRPr="00D37078">
        <w:br/>
      </w:r>
      <w:r w:rsidRPr="00D37078">
        <w:rPr>
          <w:b/>
          <w:bCs/>
        </w:rPr>
        <w:t>Implementation:</w:t>
      </w:r>
      <w:r w:rsidRPr="00D37078">
        <w:t xml:space="preserve"> Conduct legal review of current practices against new framework when fully effective</w:t>
      </w:r>
    </w:p>
    <w:p w14:paraId="1D66345A" w14:textId="77777777" w:rsidR="00A95C5D" w:rsidRDefault="00A95C5D">
      <w:pPr>
        <w:spacing w:after="160" w:line="278" w:lineRule="auto"/>
        <w:rPr>
          <w:b/>
          <w:bCs/>
        </w:rPr>
      </w:pPr>
      <w:r>
        <w:rPr>
          <w:b/>
          <w:bCs/>
        </w:rPr>
        <w:br w:type="page"/>
      </w:r>
    </w:p>
    <w:p w14:paraId="7ADA06BD" w14:textId="6D4F7C73" w:rsidR="00D37078" w:rsidRPr="00D37078" w:rsidRDefault="00D37078" w:rsidP="00A95C5D">
      <w:pPr>
        <w:pStyle w:val="Title"/>
      </w:pPr>
      <w:r w:rsidRPr="00D37078">
        <w:lastRenderedPageBreak/>
        <w:t>Section 2: Employment Law and Discrimination Prevention</w:t>
      </w:r>
    </w:p>
    <w:p w14:paraId="19417F97" w14:textId="77777777" w:rsidR="00D37078" w:rsidRPr="00D37078" w:rsidRDefault="00D37078" w:rsidP="00A95C5D">
      <w:pPr>
        <w:pStyle w:val="Subtitle"/>
      </w:pPr>
      <w:r w:rsidRPr="00D37078">
        <w:t>2.1 Equality Act 2010 Compliance</w:t>
      </w:r>
    </w:p>
    <w:p w14:paraId="00C8924F" w14:textId="77777777" w:rsidR="00D37078" w:rsidRPr="00D37078" w:rsidRDefault="00D37078" w:rsidP="00D37078">
      <w:r w:rsidRPr="00D37078">
        <w:rPr>
          <w:b/>
          <w:bCs/>
        </w:rPr>
        <w:t>Regulation:</w:t>
      </w:r>
      <w:r w:rsidRPr="00D37078">
        <w:t xml:space="preserve"> Equality Act 2010, ACAS Guidance on AI in Recruitment</w:t>
      </w:r>
      <w:r w:rsidRPr="00D37078">
        <w:br/>
      </w:r>
      <w:r w:rsidRPr="00D37078">
        <w:rPr>
          <w:b/>
          <w:bCs/>
        </w:rPr>
        <w:t>Risk Level:</w:t>
      </w:r>
      <w:r w:rsidRPr="00D37078">
        <w:t xml:space="preserve"> CRITICAL - Unlimited compensation awards available</w:t>
      </w:r>
    </w:p>
    <w:p w14:paraId="29A19AFF" w14:textId="77777777" w:rsidR="00D37078" w:rsidRPr="00D37078" w:rsidRDefault="00D37078" w:rsidP="00A95C5D">
      <w:pPr>
        <w:pStyle w:val="SectionHeading"/>
      </w:pPr>
      <w:r w:rsidRPr="00D37078">
        <w:t>Checkpoint 2.1.1: Protected Characteristics Assessment</w:t>
      </w:r>
    </w:p>
    <w:p w14:paraId="37C3E841"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Direct Discrimination Prevention:</w:t>
      </w:r>
      <w:r w:rsidRPr="00D37078">
        <w:t xml:space="preserve"> Ensure AI systems cannot filter by protected characteristics</w:t>
      </w:r>
    </w:p>
    <w:p w14:paraId="71B1CCC1"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Indirect Discrimination Analysis:</w:t>
      </w:r>
      <w:r w:rsidRPr="00D37078">
        <w:t xml:space="preserve"> Conduct impact assessments across demographic groups</w:t>
      </w:r>
    </w:p>
    <w:p w14:paraId="4D09070B"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Intersectionality Considerations:</w:t>
      </w:r>
      <w:r w:rsidRPr="00D37078">
        <w:t xml:space="preserve"> Test for compound discrimination effects</w:t>
      </w:r>
    </w:p>
    <w:p w14:paraId="6E5FFF72"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Reasonable Adjustments:</w:t>
      </w:r>
      <w:r w:rsidRPr="00D37078">
        <w:t xml:space="preserve"> Implement disability accommodation procedures</w:t>
      </w:r>
    </w:p>
    <w:p w14:paraId="73D79912" w14:textId="77777777" w:rsidR="00D37078" w:rsidRPr="00D37078" w:rsidRDefault="00D37078" w:rsidP="00D37078">
      <w:r w:rsidRPr="00D37078">
        <w:rPr>
          <w:b/>
          <w:bCs/>
        </w:rPr>
        <w:t>Objective:</w:t>
      </w:r>
      <w:r w:rsidRPr="00D37078">
        <w:t xml:space="preserve"> Prevent discrimination claims with potential unlimited compensation awards</w:t>
      </w:r>
      <w:r w:rsidRPr="00D37078">
        <w:br/>
      </w:r>
      <w:r w:rsidRPr="00D37078">
        <w:rPr>
          <w:b/>
          <w:bCs/>
        </w:rPr>
        <w:t>Implementation:</w:t>
      </w:r>
      <w:r w:rsidRPr="00D37078">
        <w:t xml:space="preserve"> Require statistical parity testing across all nine protected characteristics</w:t>
      </w:r>
    </w:p>
    <w:p w14:paraId="31182DAB" w14:textId="77777777" w:rsidR="00D37078" w:rsidRPr="00D37078" w:rsidRDefault="00D37078" w:rsidP="00A95C5D">
      <w:pPr>
        <w:pStyle w:val="SectionHeading"/>
      </w:pPr>
      <w:r w:rsidRPr="00D37078">
        <w:t>Checkpoint 2.1.2: Bias Testing and Fairness Metrics</w:t>
      </w:r>
    </w:p>
    <w:p w14:paraId="079CC2C8"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Four-Fifths Rule Testing:</w:t>
      </w:r>
      <w:r w:rsidRPr="00D37078">
        <w:t xml:space="preserve"> Apply 80% pass rate threshold across demographic groups</w:t>
      </w:r>
    </w:p>
    <w:p w14:paraId="23E914FA"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Adverse Impact Analysis:</w:t>
      </w:r>
      <w:r w:rsidRPr="00D37078">
        <w:t xml:space="preserve"> Conduct regular disparate impact assessments</w:t>
      </w:r>
    </w:p>
    <w:p w14:paraId="3FD675A4"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Calibration Testing:</w:t>
      </w:r>
      <w:r w:rsidRPr="00D37078">
        <w:t xml:space="preserve"> Verify prediction accuracy consistency across groups</w:t>
      </w:r>
    </w:p>
    <w:p w14:paraId="216BDE9C"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Intersectional Analysis:</w:t>
      </w:r>
      <w:r w:rsidRPr="00D37078">
        <w:t xml:space="preserve"> Test combinations of protected characteristics</w:t>
      </w:r>
    </w:p>
    <w:p w14:paraId="4247CBD5" w14:textId="77777777" w:rsidR="00D37078" w:rsidRPr="00D37078" w:rsidRDefault="00D37078" w:rsidP="00D37078">
      <w:r w:rsidRPr="00D37078">
        <w:rPr>
          <w:b/>
          <w:bCs/>
        </w:rPr>
        <w:lastRenderedPageBreak/>
        <w:t>Objective:</w:t>
      </w:r>
      <w:r w:rsidRPr="00D37078">
        <w:t xml:space="preserve"> Demonstrate proactive bias mitigation efforts for legal defensibility</w:t>
      </w:r>
      <w:r w:rsidRPr="00D37078">
        <w:br/>
      </w:r>
      <w:r w:rsidRPr="00D37078">
        <w:rPr>
          <w:b/>
          <w:bCs/>
        </w:rPr>
        <w:t>Implementation:</w:t>
      </w:r>
      <w:r w:rsidRPr="00D37078">
        <w:t xml:space="preserve"> Establish quarterly bias testing schedule with independent audit capabilities</w:t>
      </w:r>
    </w:p>
    <w:p w14:paraId="576376F4" w14:textId="77777777" w:rsidR="00D37078" w:rsidRPr="00D37078" w:rsidRDefault="00D37078" w:rsidP="00A95C5D">
      <w:pPr>
        <w:pStyle w:val="Subtitle"/>
      </w:pPr>
      <w:r w:rsidRPr="00D37078">
        <w:t>2.2 Employment Rights and Worker Consultation</w:t>
      </w:r>
    </w:p>
    <w:p w14:paraId="1DD760E9" w14:textId="77777777" w:rsidR="00D37078" w:rsidRPr="00D37078" w:rsidRDefault="00D37078" w:rsidP="00D37078">
      <w:r w:rsidRPr="00D37078">
        <w:rPr>
          <w:b/>
          <w:bCs/>
        </w:rPr>
        <w:t>Regulation:</w:t>
      </w:r>
      <w:r w:rsidRPr="00D37078">
        <w:t xml:space="preserve"> Employment Rights Act 1996, ACAS Codes of Practice</w:t>
      </w:r>
      <w:r w:rsidRPr="00D37078">
        <w:br/>
      </w:r>
      <w:r w:rsidRPr="00D37078">
        <w:rPr>
          <w:b/>
          <w:bCs/>
        </w:rPr>
        <w:t>Risk Level:</w:t>
      </w:r>
      <w:r w:rsidRPr="00D37078">
        <w:t xml:space="preserve"> MEDIUM - Tribunal jurisdiction for unfair treatment claims</w:t>
      </w:r>
    </w:p>
    <w:p w14:paraId="6AAD7E31" w14:textId="77777777" w:rsidR="00D37078" w:rsidRPr="00D37078" w:rsidRDefault="00D37078" w:rsidP="00A95C5D">
      <w:pPr>
        <w:pStyle w:val="SectionHeading"/>
      </w:pPr>
      <w:r w:rsidRPr="00D37078">
        <w:t>Checkpoint 2.2.1: Worker Information and Consultation</w:t>
      </w:r>
    </w:p>
    <w:p w14:paraId="1CCF1CCF"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Workplace AI Disclosure:</w:t>
      </w:r>
      <w:r w:rsidRPr="00D37078">
        <w:t xml:space="preserve"> Inform employees about AI use in HR processes</w:t>
      </w:r>
    </w:p>
    <w:p w14:paraId="5090E01B"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Trade Union Consultation:</w:t>
      </w:r>
      <w:r w:rsidRPr="00D37078">
        <w:t xml:space="preserve"> Engage recognized unions on AI implementation</w:t>
      </w:r>
    </w:p>
    <w:p w14:paraId="60F23A68"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Impact Assessment Sharing:</w:t>
      </w:r>
      <w:r w:rsidRPr="00D37078">
        <w:t xml:space="preserve"> Provide workers with relevant assessment findings</w:t>
      </w:r>
    </w:p>
    <w:p w14:paraId="47B79660"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Appeal Mechanisms:</w:t>
      </w:r>
      <w:r w:rsidRPr="00D37078">
        <w:t xml:space="preserve"> Establish clear grievance procedures for AI-related decisions</w:t>
      </w:r>
    </w:p>
    <w:p w14:paraId="6910BE9C" w14:textId="77777777" w:rsidR="00D37078" w:rsidRPr="00D37078" w:rsidRDefault="00D37078" w:rsidP="00D37078">
      <w:r w:rsidRPr="00D37078">
        <w:rPr>
          <w:b/>
          <w:bCs/>
        </w:rPr>
        <w:t>Objective:</w:t>
      </w:r>
      <w:r w:rsidRPr="00D37078">
        <w:t xml:space="preserve"> Maintain positive employee relations and prevent industrial relations disputes</w:t>
      </w:r>
      <w:r w:rsidRPr="00D37078">
        <w:br/>
      </w:r>
      <w:r w:rsidRPr="00D37078">
        <w:rPr>
          <w:b/>
          <w:bCs/>
        </w:rPr>
        <w:t>Implementation:</w:t>
      </w:r>
      <w:r w:rsidRPr="00D37078">
        <w:t xml:space="preserve"> Develop worker consultation timeline and communication strategy</w:t>
      </w:r>
    </w:p>
    <w:p w14:paraId="68578BA6" w14:textId="77777777" w:rsidR="00A95C5D" w:rsidRDefault="00A95C5D">
      <w:pPr>
        <w:spacing w:after="160" w:line="278" w:lineRule="auto"/>
        <w:rPr>
          <w:b/>
          <w:bCs/>
        </w:rPr>
      </w:pPr>
      <w:r>
        <w:rPr>
          <w:b/>
          <w:bCs/>
        </w:rPr>
        <w:br w:type="page"/>
      </w:r>
    </w:p>
    <w:p w14:paraId="75A6C3DE" w14:textId="07307079" w:rsidR="00D37078" w:rsidRPr="00D37078" w:rsidRDefault="00D37078" w:rsidP="00A95C5D">
      <w:pPr>
        <w:pStyle w:val="Title"/>
      </w:pPr>
      <w:r w:rsidRPr="00D37078">
        <w:lastRenderedPageBreak/>
        <w:t>Section 3: Cybersecurity and System Resilience</w:t>
      </w:r>
    </w:p>
    <w:p w14:paraId="19B523B9" w14:textId="77777777" w:rsidR="00D37078" w:rsidRPr="00D37078" w:rsidRDefault="00D37078" w:rsidP="00A95C5D">
      <w:pPr>
        <w:pStyle w:val="Subtitle"/>
      </w:pPr>
      <w:r w:rsidRPr="00D37078">
        <w:t>3.1 Current Cybersecurity Standards</w:t>
      </w:r>
    </w:p>
    <w:p w14:paraId="55281E49" w14:textId="77777777" w:rsidR="00D37078" w:rsidRPr="00D37078" w:rsidRDefault="00D37078" w:rsidP="00D37078">
      <w:r w:rsidRPr="00D37078">
        <w:rPr>
          <w:b/>
          <w:bCs/>
        </w:rPr>
        <w:t>Regulation:</w:t>
      </w:r>
      <w:r w:rsidRPr="00D37078">
        <w:t xml:space="preserve"> Cyber Essentials, ISO 27001, Common Law Duties</w:t>
      </w:r>
      <w:r w:rsidRPr="00D37078">
        <w:br/>
      </w:r>
      <w:r w:rsidRPr="00D37078">
        <w:rPr>
          <w:b/>
          <w:bCs/>
        </w:rPr>
        <w:t>Risk Level:</w:t>
      </w:r>
      <w:r w:rsidRPr="00D37078">
        <w:t xml:space="preserve"> MEDIUM - Reputational and contractual risks</w:t>
      </w:r>
    </w:p>
    <w:p w14:paraId="7F1ECB8E" w14:textId="77777777" w:rsidR="00D37078" w:rsidRPr="00D37078" w:rsidRDefault="00D37078" w:rsidP="00A95C5D">
      <w:pPr>
        <w:pStyle w:val="SectionHeading"/>
      </w:pPr>
      <w:r w:rsidRPr="00D37078">
        <w:t>Checkpoint 3.1.1: Information Security Management</w:t>
      </w:r>
    </w:p>
    <w:p w14:paraId="5B73FC26"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Encryption Standards:</w:t>
      </w:r>
      <w:r w:rsidRPr="00D37078">
        <w:t xml:space="preserve"> Verify AES-256 encryption at rest and TLS 1.3 in transit</w:t>
      </w:r>
    </w:p>
    <w:p w14:paraId="0B9D177F"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Access Controls:</w:t>
      </w:r>
      <w:r w:rsidRPr="00D37078">
        <w:t xml:space="preserve"> Implement role-based access with mandatory MFA</w:t>
      </w:r>
    </w:p>
    <w:p w14:paraId="249B26E0"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Vulnerability Management:</w:t>
      </w:r>
      <w:r w:rsidRPr="00D37078">
        <w:t xml:space="preserve"> Establish regular security assessments and patching</w:t>
      </w:r>
    </w:p>
    <w:p w14:paraId="6F2F1AA4"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Incident Response:</w:t>
      </w:r>
      <w:r w:rsidRPr="00D37078">
        <w:t xml:space="preserve"> Develop AI-specific breach notification procedures</w:t>
      </w:r>
    </w:p>
    <w:p w14:paraId="7D1DF96A" w14:textId="77777777" w:rsidR="00D37078" w:rsidRPr="00D37078" w:rsidRDefault="00D37078" w:rsidP="00D37078">
      <w:r w:rsidRPr="00D37078">
        <w:rPr>
          <w:b/>
          <w:bCs/>
        </w:rPr>
        <w:t>Objective:</w:t>
      </w:r>
      <w:r w:rsidRPr="00D37078">
        <w:t xml:space="preserve"> Protect personal data integrity and maintain system availability</w:t>
      </w:r>
      <w:r w:rsidRPr="00D37078">
        <w:br/>
      </w:r>
      <w:r w:rsidRPr="00D37078">
        <w:rPr>
          <w:b/>
          <w:bCs/>
        </w:rPr>
        <w:t>Implementation:</w:t>
      </w:r>
      <w:r w:rsidRPr="00D37078">
        <w:t xml:space="preserve"> Require vendor security certifications and conduct annual penetration testing</w:t>
      </w:r>
    </w:p>
    <w:p w14:paraId="01F650D2" w14:textId="77777777" w:rsidR="00D37078" w:rsidRPr="00D37078" w:rsidRDefault="00D37078" w:rsidP="00A95C5D">
      <w:pPr>
        <w:pStyle w:val="Subtitle"/>
      </w:pPr>
      <w:r w:rsidRPr="00D37078">
        <w:t>3.2 Anticipated Cybersecurity and Resilience Bill</w:t>
      </w:r>
    </w:p>
    <w:p w14:paraId="61873EC3" w14:textId="77777777" w:rsidR="00D37078" w:rsidRPr="00D37078" w:rsidRDefault="00D37078" w:rsidP="00D37078">
      <w:r w:rsidRPr="00D37078">
        <w:rPr>
          <w:b/>
          <w:bCs/>
        </w:rPr>
        <w:t>Regulation:</w:t>
      </w:r>
      <w:r w:rsidRPr="00D37078">
        <w:t xml:space="preserve"> Cybersecurity and Resilience Bill (announced King's Speech July 2024)</w:t>
      </w:r>
      <w:r w:rsidRPr="00D37078">
        <w:br/>
      </w:r>
      <w:r w:rsidRPr="00D37078">
        <w:rPr>
          <w:b/>
          <w:bCs/>
        </w:rPr>
        <w:t>Risk Level:</w:t>
      </w:r>
      <w:r w:rsidRPr="00D37078">
        <w:t xml:space="preserve"> HIGH - Expected penalties up to £10 million or 2% global turnover</w:t>
      </w:r>
    </w:p>
    <w:p w14:paraId="1C7F9AB5" w14:textId="77777777" w:rsidR="00D37078" w:rsidRPr="00D37078" w:rsidRDefault="00D37078" w:rsidP="00A95C5D">
      <w:pPr>
        <w:pStyle w:val="SectionHeading"/>
      </w:pPr>
      <w:r w:rsidRPr="00D37078">
        <w:t>Checkpoint 3.2.1: Preparatory Measures</w:t>
      </w:r>
    </w:p>
    <w:p w14:paraId="665ED064"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Critical Infrastructure Assessment:</w:t>
      </w:r>
      <w:r w:rsidRPr="00D37078">
        <w:t xml:space="preserve"> Determine potential classification under new regime</w:t>
      </w:r>
    </w:p>
    <w:p w14:paraId="5E6D86D6"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Incident Reporting Capabilities:</w:t>
      </w:r>
      <w:r w:rsidRPr="00D37078">
        <w:t xml:space="preserve"> Develop systems for mandatory reporting requirements</w:t>
      </w:r>
    </w:p>
    <w:p w14:paraId="2ADA98E9"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Supply Chain Security:</w:t>
      </w:r>
      <w:r w:rsidRPr="00D37078">
        <w:t xml:space="preserve"> Assess vendor cybersecurity practices and contracts</w:t>
      </w:r>
    </w:p>
    <w:p w14:paraId="1F28DBF8" w14:textId="77777777" w:rsidR="00D37078" w:rsidRPr="00D37078" w:rsidRDefault="00D37078" w:rsidP="00A95C5D">
      <w:pPr>
        <w:pStyle w:val="BulletList"/>
      </w:pPr>
      <w:proofErr w:type="gramStart"/>
      <w:r w:rsidRPr="00D37078">
        <w:lastRenderedPageBreak/>
        <w:t>[ ]</w:t>
      </w:r>
      <w:proofErr w:type="gramEnd"/>
      <w:r w:rsidRPr="00D37078">
        <w:t xml:space="preserve"> </w:t>
      </w:r>
      <w:r w:rsidRPr="00D37078">
        <w:rPr>
          <w:b/>
          <w:bCs/>
        </w:rPr>
        <w:t>Resilience Planning:</w:t>
      </w:r>
      <w:r w:rsidRPr="00D37078">
        <w:t xml:space="preserve"> Implement business continuity measures for AI system failures</w:t>
      </w:r>
    </w:p>
    <w:p w14:paraId="7D8B6AD8" w14:textId="77777777" w:rsidR="00D37078" w:rsidRPr="00D37078" w:rsidRDefault="00D37078" w:rsidP="00D37078">
      <w:r w:rsidRPr="00D37078">
        <w:rPr>
          <w:b/>
          <w:bCs/>
        </w:rPr>
        <w:t>Objective:</w:t>
      </w:r>
      <w:r w:rsidRPr="00D37078">
        <w:t xml:space="preserve"> Prepare for comprehensive cybersecurity obligations when legislation enacted</w:t>
      </w:r>
      <w:r w:rsidRPr="00D37078">
        <w:br/>
      </w:r>
      <w:r w:rsidRPr="00D37078">
        <w:rPr>
          <w:b/>
          <w:bCs/>
        </w:rPr>
        <w:t>Implementation:</w:t>
      </w:r>
      <w:r w:rsidRPr="00D37078">
        <w:t xml:space="preserve"> Monitor bill progress and engage cybersecurity consultants for readiness assessment</w:t>
      </w:r>
    </w:p>
    <w:p w14:paraId="6C1C6C4B" w14:textId="77777777" w:rsidR="00A95C5D" w:rsidRDefault="00A95C5D">
      <w:pPr>
        <w:spacing w:after="160" w:line="278" w:lineRule="auto"/>
        <w:rPr>
          <w:b/>
          <w:bCs/>
        </w:rPr>
      </w:pPr>
      <w:r>
        <w:rPr>
          <w:b/>
          <w:bCs/>
        </w:rPr>
        <w:br w:type="page"/>
      </w:r>
    </w:p>
    <w:p w14:paraId="4A0F1219" w14:textId="04668582" w:rsidR="00D37078" w:rsidRPr="00D37078" w:rsidRDefault="00D37078" w:rsidP="00A95C5D">
      <w:pPr>
        <w:pStyle w:val="Title"/>
      </w:pPr>
      <w:r w:rsidRPr="00D37078">
        <w:lastRenderedPageBreak/>
        <w:t>Section 4: Vendor Due Diligence and Risk Management</w:t>
      </w:r>
    </w:p>
    <w:p w14:paraId="3F3615A9" w14:textId="77777777" w:rsidR="00D37078" w:rsidRPr="00D37078" w:rsidRDefault="00D37078" w:rsidP="00A95C5D">
      <w:pPr>
        <w:pStyle w:val="Subtitle"/>
      </w:pPr>
      <w:r w:rsidRPr="00D37078">
        <w:t>4.1 AI System Technical Assessment</w:t>
      </w:r>
    </w:p>
    <w:p w14:paraId="18E9C04D" w14:textId="77777777" w:rsidR="00D37078" w:rsidRPr="00D37078" w:rsidRDefault="00D37078" w:rsidP="00D37078">
      <w:r w:rsidRPr="00D37078">
        <w:rPr>
          <w:b/>
          <w:bCs/>
        </w:rPr>
        <w:t>Standards:</w:t>
      </w:r>
      <w:r w:rsidRPr="00D37078">
        <w:t xml:space="preserve"> ISO/IEC 23053:2022 (AI risk management), BSI standards</w:t>
      </w:r>
      <w:r w:rsidRPr="00D37078">
        <w:br/>
      </w:r>
      <w:r w:rsidRPr="00D37078">
        <w:rPr>
          <w:b/>
          <w:bCs/>
        </w:rPr>
        <w:t>Risk Level:</w:t>
      </w:r>
      <w:r w:rsidRPr="00D37078">
        <w:t xml:space="preserve"> HIGH - Vendor failures create direct client liability</w:t>
      </w:r>
    </w:p>
    <w:p w14:paraId="5A82FD86" w14:textId="77777777" w:rsidR="00D37078" w:rsidRPr="00D37078" w:rsidRDefault="00D37078" w:rsidP="00A95C5D">
      <w:pPr>
        <w:pStyle w:val="SectionHeading"/>
      </w:pPr>
      <w:r w:rsidRPr="00D37078">
        <w:t>Checkpoint 4.1.1: Algorithm Transparency and Explainability</w:t>
      </w:r>
    </w:p>
    <w:p w14:paraId="6E44D651"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Model Documentation:</w:t>
      </w:r>
      <w:r w:rsidRPr="00D37078">
        <w:t xml:space="preserve"> Obtain detailed technical specifications and training data sources</w:t>
      </w:r>
    </w:p>
    <w:p w14:paraId="61DEDD0E"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Decision Logic Mapping:</w:t>
      </w:r>
      <w:r w:rsidRPr="00D37078">
        <w:t xml:space="preserve"> Verify availability of meaningful explanations for outputs</w:t>
      </w:r>
    </w:p>
    <w:p w14:paraId="3DD35733"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Bias Mitigation Techniques:</w:t>
      </w:r>
      <w:r w:rsidRPr="00D37078">
        <w:t xml:space="preserve"> Review fairness-aware machine learning implementations</w:t>
      </w:r>
    </w:p>
    <w:p w14:paraId="6FC515B1"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Performance Metrics:</w:t>
      </w:r>
      <w:r w:rsidRPr="00D37078">
        <w:t xml:space="preserve"> Assess accuracy, precision, recall, and fairness measures</w:t>
      </w:r>
    </w:p>
    <w:p w14:paraId="76DE2327" w14:textId="77777777" w:rsidR="00D37078" w:rsidRPr="00D37078" w:rsidRDefault="00D37078" w:rsidP="00D37078">
      <w:r w:rsidRPr="00D37078">
        <w:rPr>
          <w:b/>
          <w:bCs/>
        </w:rPr>
        <w:t>Objective:</w:t>
      </w:r>
      <w:r w:rsidRPr="00D37078">
        <w:t xml:space="preserve"> Ensure AI systems meet transparency requirements and performance standards</w:t>
      </w:r>
      <w:r w:rsidRPr="00D37078">
        <w:br/>
      </w:r>
      <w:r w:rsidRPr="00D37078">
        <w:rPr>
          <w:b/>
          <w:bCs/>
        </w:rPr>
        <w:t>Implementation:</w:t>
      </w:r>
      <w:r w:rsidRPr="00D37078">
        <w:t xml:space="preserve"> Conduct technical due diligence with data science expertise</w:t>
      </w:r>
    </w:p>
    <w:p w14:paraId="42F7991C" w14:textId="77777777" w:rsidR="00D37078" w:rsidRPr="00D37078" w:rsidRDefault="00D37078" w:rsidP="00A95C5D">
      <w:pPr>
        <w:pStyle w:val="SectionHeading"/>
      </w:pPr>
      <w:r w:rsidRPr="00D37078">
        <w:t>Checkpoint 4.1.2: Data Processing and Storage</w:t>
      </w:r>
    </w:p>
    <w:p w14:paraId="2FB9B073"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Data Minimization Compliance:</w:t>
      </w:r>
      <w:r w:rsidRPr="00D37078">
        <w:t xml:space="preserve"> Verify processing limited to necessary purposes</w:t>
      </w:r>
    </w:p>
    <w:p w14:paraId="01B2E720"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Retention Policy Alignment:</w:t>
      </w:r>
      <w:r w:rsidRPr="00D37078">
        <w:t xml:space="preserve"> Confirm deletion schedules match business requirements</w:t>
      </w:r>
    </w:p>
    <w:p w14:paraId="475964B5"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Third-Party Transfers:</w:t>
      </w:r>
      <w:r w:rsidRPr="00D37078">
        <w:t xml:space="preserve"> Assess international data transfer mechanisms and adequacy</w:t>
      </w:r>
    </w:p>
    <w:p w14:paraId="4B79426E"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Data Subject Rights Implementation:</w:t>
      </w:r>
      <w:r w:rsidRPr="00D37078">
        <w:t xml:space="preserve"> Test access, rectification, and deletion capabilities</w:t>
      </w:r>
    </w:p>
    <w:p w14:paraId="05F65C2B" w14:textId="77777777" w:rsidR="00D37078" w:rsidRPr="00D37078" w:rsidRDefault="00D37078" w:rsidP="00D37078">
      <w:r w:rsidRPr="00D37078">
        <w:rPr>
          <w:b/>
          <w:bCs/>
        </w:rPr>
        <w:lastRenderedPageBreak/>
        <w:t>Objective:</w:t>
      </w:r>
      <w:r w:rsidRPr="00D37078">
        <w:t xml:space="preserve"> Ensure vendor data practices align with UK data protection requirements</w:t>
      </w:r>
      <w:r w:rsidRPr="00D37078">
        <w:br/>
      </w:r>
      <w:r w:rsidRPr="00D37078">
        <w:rPr>
          <w:b/>
          <w:bCs/>
        </w:rPr>
        <w:t>Implementation:</w:t>
      </w:r>
      <w:r w:rsidRPr="00D37078">
        <w:t xml:space="preserve"> Review data processing agreements and conduct data mapping exercises</w:t>
      </w:r>
    </w:p>
    <w:p w14:paraId="573A87CE" w14:textId="77777777" w:rsidR="00D37078" w:rsidRPr="00D37078" w:rsidRDefault="00D37078" w:rsidP="00A95C5D">
      <w:pPr>
        <w:pStyle w:val="Subtitle"/>
      </w:pPr>
      <w:r w:rsidRPr="00D37078">
        <w:t>4.2 Contractual Risk Allocation</w:t>
      </w:r>
    </w:p>
    <w:p w14:paraId="7B78CDC9" w14:textId="77777777" w:rsidR="00D37078" w:rsidRPr="00D37078" w:rsidRDefault="00D37078" w:rsidP="00D37078">
      <w:r w:rsidRPr="00D37078">
        <w:rPr>
          <w:b/>
          <w:bCs/>
        </w:rPr>
        <w:t>Legal Framework:</w:t>
      </w:r>
      <w:r w:rsidRPr="00D37078">
        <w:t xml:space="preserve"> Contract law, limitation of liability provisions</w:t>
      </w:r>
      <w:r w:rsidRPr="00D37078">
        <w:br/>
      </w:r>
      <w:r w:rsidRPr="00D37078">
        <w:rPr>
          <w:b/>
          <w:bCs/>
        </w:rPr>
        <w:t>Risk Level:</w:t>
      </w:r>
      <w:r w:rsidRPr="00D37078">
        <w:t xml:space="preserve"> CRITICAL - Potential vicarious liability for vendor failures</w:t>
      </w:r>
    </w:p>
    <w:p w14:paraId="647BA40F" w14:textId="77777777" w:rsidR="00D37078" w:rsidRPr="00D37078" w:rsidRDefault="00D37078" w:rsidP="00A95C5D">
      <w:pPr>
        <w:pStyle w:val="SectionHeading"/>
      </w:pPr>
      <w:r w:rsidRPr="00D37078">
        <w:t>Checkpoint 4.2.1: Liability and Indemnification</w:t>
      </w:r>
    </w:p>
    <w:p w14:paraId="7651C004"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Discrimination Claims Coverage:</w:t>
      </w:r>
      <w:r w:rsidRPr="00D37078">
        <w:t xml:space="preserve"> Secure indemnification for bias-related legal actions</w:t>
      </w:r>
    </w:p>
    <w:p w14:paraId="39406139"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Data Protection Violations:</w:t>
      </w:r>
      <w:r w:rsidRPr="00D37078">
        <w:t xml:space="preserve"> Allocate ICO fine responsibility and remediation costs</w:t>
      </w:r>
    </w:p>
    <w:p w14:paraId="75DEA6A3"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System Failure Consequences:</w:t>
      </w:r>
      <w:r w:rsidRPr="00D37078">
        <w:t xml:space="preserve"> Define liability for recruitment process disruptions</w:t>
      </w:r>
    </w:p>
    <w:p w14:paraId="79ABC0BC"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Regulatory Compliance Warranties:</w:t>
      </w:r>
      <w:r w:rsidRPr="00D37078">
        <w:t xml:space="preserve"> Obtain ongoing compliance representations</w:t>
      </w:r>
    </w:p>
    <w:p w14:paraId="4D0DE083" w14:textId="77777777" w:rsidR="00D37078" w:rsidRPr="00D37078" w:rsidRDefault="00D37078" w:rsidP="00D37078">
      <w:r w:rsidRPr="00D37078">
        <w:rPr>
          <w:b/>
          <w:bCs/>
        </w:rPr>
        <w:t>Objective:</w:t>
      </w:r>
      <w:r w:rsidRPr="00D37078">
        <w:t xml:space="preserve"> Transfer appropriate risks to vendors while maintaining operational control</w:t>
      </w:r>
      <w:r w:rsidRPr="00D37078">
        <w:br/>
      </w:r>
      <w:r w:rsidRPr="00D37078">
        <w:rPr>
          <w:b/>
          <w:bCs/>
        </w:rPr>
        <w:t>Implementation:</w:t>
      </w:r>
      <w:r w:rsidRPr="00D37078">
        <w:t xml:space="preserve"> Engage specialized legal counsel for AI-specific contract terms</w:t>
      </w:r>
    </w:p>
    <w:p w14:paraId="286AD0F1" w14:textId="77777777" w:rsidR="00D37078" w:rsidRPr="00D37078" w:rsidRDefault="00D37078" w:rsidP="00A95C5D">
      <w:pPr>
        <w:pStyle w:val="SectionHeading"/>
      </w:pPr>
      <w:r w:rsidRPr="00D37078">
        <w:t>Checkpoint 4.2.2: Audit Rights and Ongoing Monitoring</w:t>
      </w:r>
    </w:p>
    <w:p w14:paraId="24DE6EBE" w14:textId="77777777" w:rsidR="00D37078" w:rsidRPr="00D37078" w:rsidRDefault="00D37078" w:rsidP="00D37078">
      <w:pPr>
        <w:numPr>
          <w:ilvl w:val="0"/>
          <w:numId w:val="13"/>
        </w:numPr>
      </w:pPr>
      <w:proofErr w:type="gramStart"/>
      <w:r w:rsidRPr="00D37078">
        <w:t>[ ]</w:t>
      </w:r>
      <w:proofErr w:type="gramEnd"/>
      <w:r w:rsidRPr="00D37078">
        <w:t xml:space="preserve"> </w:t>
      </w:r>
      <w:r w:rsidRPr="00D37078">
        <w:rPr>
          <w:b/>
          <w:bCs/>
        </w:rPr>
        <w:t>Regular Assessment Rights:</w:t>
      </w:r>
      <w:r w:rsidRPr="00D37078">
        <w:t xml:space="preserve"> Secure annual system audits and bias testing access</w:t>
      </w:r>
    </w:p>
    <w:p w14:paraId="044B238D" w14:textId="77777777" w:rsidR="00D37078" w:rsidRPr="00D37078" w:rsidRDefault="00D37078" w:rsidP="00D37078">
      <w:pPr>
        <w:numPr>
          <w:ilvl w:val="0"/>
          <w:numId w:val="13"/>
        </w:numPr>
      </w:pPr>
      <w:proofErr w:type="gramStart"/>
      <w:r w:rsidRPr="00D37078">
        <w:t>[ ]</w:t>
      </w:r>
      <w:proofErr w:type="gramEnd"/>
      <w:r w:rsidRPr="00D37078">
        <w:t xml:space="preserve"> </w:t>
      </w:r>
      <w:r w:rsidRPr="00D37078">
        <w:rPr>
          <w:b/>
          <w:bCs/>
        </w:rPr>
        <w:t>Real-time Monitoring:</w:t>
      </w:r>
      <w:r w:rsidRPr="00D37078">
        <w:t xml:space="preserve"> Implement continuous performance and fairness monitoring</w:t>
      </w:r>
    </w:p>
    <w:p w14:paraId="519F985C" w14:textId="77777777" w:rsidR="00D37078" w:rsidRPr="00D37078" w:rsidRDefault="00D37078" w:rsidP="00D37078">
      <w:pPr>
        <w:numPr>
          <w:ilvl w:val="0"/>
          <w:numId w:val="13"/>
        </w:numPr>
      </w:pPr>
      <w:proofErr w:type="gramStart"/>
      <w:r w:rsidRPr="00D37078">
        <w:t>[ ]</w:t>
      </w:r>
      <w:proofErr w:type="gramEnd"/>
      <w:r w:rsidRPr="00D37078">
        <w:t xml:space="preserve"> </w:t>
      </w:r>
      <w:r w:rsidRPr="00D37078">
        <w:rPr>
          <w:b/>
          <w:bCs/>
        </w:rPr>
        <w:t>Incident Notification:</w:t>
      </w:r>
      <w:r w:rsidRPr="00D37078">
        <w:t xml:space="preserve"> Require immediate disclosure of bias incidents or breaches</w:t>
      </w:r>
    </w:p>
    <w:p w14:paraId="72A4EDD7" w14:textId="77777777" w:rsidR="00D37078" w:rsidRPr="00D37078" w:rsidRDefault="00D37078" w:rsidP="00D37078">
      <w:pPr>
        <w:numPr>
          <w:ilvl w:val="0"/>
          <w:numId w:val="13"/>
        </w:numPr>
      </w:pPr>
      <w:proofErr w:type="gramStart"/>
      <w:r w:rsidRPr="00D37078">
        <w:t>[ ]</w:t>
      </w:r>
      <w:proofErr w:type="gramEnd"/>
      <w:r w:rsidRPr="00D37078">
        <w:t xml:space="preserve"> </w:t>
      </w:r>
      <w:r w:rsidRPr="00D37078">
        <w:rPr>
          <w:b/>
          <w:bCs/>
        </w:rPr>
        <w:t>Remediation Obligations:</w:t>
      </w:r>
      <w:r w:rsidRPr="00D37078">
        <w:t xml:space="preserve"> Define correction timeframes and escalation procedures</w:t>
      </w:r>
    </w:p>
    <w:p w14:paraId="3C454AF0" w14:textId="77777777" w:rsidR="00D37078" w:rsidRPr="00D37078" w:rsidRDefault="00D37078" w:rsidP="00D37078">
      <w:r w:rsidRPr="00D37078">
        <w:rPr>
          <w:b/>
          <w:bCs/>
        </w:rPr>
        <w:lastRenderedPageBreak/>
        <w:t>Objective:</w:t>
      </w:r>
      <w:r w:rsidRPr="00D37078">
        <w:t xml:space="preserve"> Maintain visibility into vendor operations for proactive risk management</w:t>
      </w:r>
      <w:r w:rsidRPr="00D37078">
        <w:br/>
      </w:r>
      <w:r w:rsidRPr="00D37078">
        <w:rPr>
          <w:b/>
          <w:bCs/>
        </w:rPr>
        <w:t>Implementation:</w:t>
      </w:r>
      <w:r w:rsidRPr="00D37078">
        <w:t xml:space="preserve"> Establish vendor governance framework with regular review cycles</w:t>
      </w:r>
    </w:p>
    <w:p w14:paraId="6CCE66A1" w14:textId="77777777" w:rsidR="00A95C5D" w:rsidRDefault="00A95C5D">
      <w:pPr>
        <w:spacing w:after="160" w:line="278" w:lineRule="auto"/>
        <w:rPr>
          <w:b/>
          <w:bCs/>
        </w:rPr>
      </w:pPr>
      <w:r>
        <w:rPr>
          <w:b/>
          <w:bCs/>
        </w:rPr>
        <w:br w:type="page"/>
      </w:r>
    </w:p>
    <w:p w14:paraId="6CDE4DEF" w14:textId="2206754A" w:rsidR="00D37078" w:rsidRPr="00D37078" w:rsidRDefault="00D37078" w:rsidP="00A95C5D">
      <w:pPr>
        <w:pStyle w:val="Title"/>
      </w:pPr>
      <w:r w:rsidRPr="00D37078">
        <w:lastRenderedPageBreak/>
        <w:t>Section 5: Human Oversight and Decision Governance</w:t>
      </w:r>
    </w:p>
    <w:p w14:paraId="2760BCB1" w14:textId="77777777" w:rsidR="00D37078" w:rsidRPr="00D37078" w:rsidRDefault="00D37078" w:rsidP="00A95C5D">
      <w:pPr>
        <w:pStyle w:val="Subtitle"/>
      </w:pPr>
      <w:r w:rsidRPr="00D37078">
        <w:t>5.1 Meaningful Human Involvement</w:t>
      </w:r>
    </w:p>
    <w:p w14:paraId="4533974F" w14:textId="77777777" w:rsidR="00D37078" w:rsidRPr="00D37078" w:rsidRDefault="00D37078" w:rsidP="00D37078">
      <w:r w:rsidRPr="00D37078">
        <w:rPr>
          <w:b/>
          <w:bCs/>
        </w:rPr>
        <w:t>Regulation:</w:t>
      </w:r>
      <w:r w:rsidRPr="00D37078">
        <w:t xml:space="preserve"> UK GDPR Article 22, ICO AI Guidance</w:t>
      </w:r>
      <w:r w:rsidRPr="00D37078">
        <w:br/>
      </w:r>
      <w:r w:rsidRPr="00D37078">
        <w:rPr>
          <w:b/>
          <w:bCs/>
        </w:rPr>
        <w:t>Risk Level:</w:t>
      </w:r>
      <w:r w:rsidRPr="00D37078">
        <w:t xml:space="preserve"> HIGH - Core requirement for lawful automated processing</w:t>
      </w:r>
    </w:p>
    <w:p w14:paraId="674096B3" w14:textId="77777777" w:rsidR="00D37078" w:rsidRPr="00D37078" w:rsidRDefault="00D37078" w:rsidP="00A95C5D">
      <w:pPr>
        <w:pStyle w:val="SectionHeading"/>
      </w:pPr>
      <w:r w:rsidRPr="00D37078">
        <w:t>Checkpoint 5.1.1: Human-in-the-Loop Architecture</w:t>
      </w:r>
    </w:p>
    <w:p w14:paraId="33E24B89"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Decision Authority:</w:t>
      </w:r>
      <w:r w:rsidRPr="00D37078">
        <w:t xml:space="preserve"> Confirm humans retain final authority over employment outcomes</w:t>
      </w:r>
    </w:p>
    <w:p w14:paraId="0B789FF0"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Override Capabilities:</w:t>
      </w:r>
      <w:r w:rsidRPr="00D37078">
        <w:t xml:space="preserve"> Verify ability to reverse or modify AI recommendations</w:t>
      </w:r>
    </w:p>
    <w:p w14:paraId="2D9C7382"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Review Procedures:</w:t>
      </w:r>
      <w:r w:rsidRPr="00D37078">
        <w:t xml:space="preserve"> Establish systematic evaluation of AI outputs before action</w:t>
      </w:r>
    </w:p>
    <w:p w14:paraId="66081A57"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Training Requirements:</w:t>
      </w:r>
      <w:r w:rsidRPr="00D37078">
        <w:t xml:space="preserve"> Implement AI literacy programs for decision-makers</w:t>
      </w:r>
    </w:p>
    <w:p w14:paraId="5FE76CD2" w14:textId="77777777" w:rsidR="00D37078" w:rsidRPr="00D37078" w:rsidRDefault="00D37078" w:rsidP="00D37078">
      <w:r w:rsidRPr="00D37078">
        <w:rPr>
          <w:b/>
          <w:bCs/>
        </w:rPr>
        <w:t>Objective:</w:t>
      </w:r>
      <w:r w:rsidRPr="00D37078">
        <w:t xml:space="preserve"> Ensure human oversight meets "meaningful involvement" legal standards</w:t>
      </w:r>
      <w:r w:rsidRPr="00D37078">
        <w:br/>
      </w:r>
      <w:r w:rsidRPr="00D37078">
        <w:rPr>
          <w:b/>
          <w:bCs/>
        </w:rPr>
        <w:t>Implementation:</w:t>
      </w:r>
      <w:r w:rsidRPr="00D37078">
        <w:t xml:space="preserve"> Develop standard operating procedures for human review processes</w:t>
      </w:r>
    </w:p>
    <w:p w14:paraId="4C469FBC" w14:textId="77777777" w:rsidR="00D37078" w:rsidRPr="00D37078" w:rsidRDefault="00D37078" w:rsidP="00A95C5D">
      <w:pPr>
        <w:pStyle w:val="SectionHeading"/>
      </w:pPr>
      <w:r w:rsidRPr="00D37078">
        <w:t>Checkpoint 5.1.2: Appeal and Review Mechanisms</w:t>
      </w:r>
    </w:p>
    <w:p w14:paraId="4C6ADB45"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Candidate Appeal Rights:</w:t>
      </w:r>
      <w:r w:rsidRPr="00D37078">
        <w:t xml:space="preserve"> Provide clear procedures for contesting AI-influenced decisions</w:t>
      </w:r>
    </w:p>
    <w:p w14:paraId="3A6AB617"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Independent Review:</w:t>
      </w:r>
      <w:r w:rsidRPr="00D37078">
        <w:t xml:space="preserve"> Offer escalation to reviewers not involved in original decisions</w:t>
      </w:r>
    </w:p>
    <w:p w14:paraId="2AD869E5"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Documentation Requirements:</w:t>
      </w:r>
      <w:r w:rsidRPr="00D37078">
        <w:t xml:space="preserve"> Maintain records of human oversight and appeal outcomes</w:t>
      </w:r>
    </w:p>
    <w:p w14:paraId="4B63525A"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Continuous Improvement:</w:t>
      </w:r>
      <w:r w:rsidRPr="00D37078">
        <w:t xml:space="preserve"> Use appeal outcomes to refine AI system performance</w:t>
      </w:r>
    </w:p>
    <w:p w14:paraId="3C5B3092" w14:textId="77777777" w:rsidR="00D37078" w:rsidRPr="00D37078" w:rsidRDefault="00D37078" w:rsidP="00D37078">
      <w:r w:rsidRPr="00D37078">
        <w:rPr>
          <w:b/>
          <w:bCs/>
        </w:rPr>
        <w:lastRenderedPageBreak/>
        <w:t>Objective:</w:t>
      </w:r>
      <w:r w:rsidRPr="00D37078">
        <w:t xml:space="preserve"> Demonstrate procedural fairness and continuous system improvement</w:t>
      </w:r>
      <w:r w:rsidRPr="00D37078">
        <w:br/>
      </w:r>
      <w:r w:rsidRPr="00D37078">
        <w:rPr>
          <w:b/>
          <w:bCs/>
        </w:rPr>
        <w:t>Implementation:</w:t>
      </w:r>
      <w:r w:rsidRPr="00D37078">
        <w:t xml:space="preserve"> Create candidate-facing appeal portal with clear timelines and processes</w:t>
      </w:r>
    </w:p>
    <w:p w14:paraId="5D263905" w14:textId="77777777" w:rsidR="00A95C5D" w:rsidRDefault="00A95C5D">
      <w:pPr>
        <w:spacing w:after="160" w:line="278" w:lineRule="auto"/>
        <w:rPr>
          <w:b/>
          <w:bCs/>
        </w:rPr>
      </w:pPr>
      <w:r>
        <w:rPr>
          <w:b/>
          <w:bCs/>
        </w:rPr>
        <w:br w:type="page"/>
      </w:r>
    </w:p>
    <w:p w14:paraId="2279C20B" w14:textId="242FE9BA" w:rsidR="00D37078" w:rsidRPr="00D37078" w:rsidRDefault="00D37078" w:rsidP="00A95C5D">
      <w:pPr>
        <w:pStyle w:val="Title"/>
      </w:pPr>
      <w:r w:rsidRPr="00D37078">
        <w:lastRenderedPageBreak/>
        <w:t>Section 6: Documentation and Record Keeping</w:t>
      </w:r>
    </w:p>
    <w:p w14:paraId="3415F1AB" w14:textId="77777777" w:rsidR="00D37078" w:rsidRPr="00D37078" w:rsidRDefault="00D37078" w:rsidP="00A95C5D">
      <w:pPr>
        <w:pStyle w:val="Subtitle"/>
      </w:pPr>
      <w:r w:rsidRPr="00D37078">
        <w:t>6.1 Compliance Documentation Framework</w:t>
      </w:r>
    </w:p>
    <w:p w14:paraId="48E50683" w14:textId="77777777" w:rsidR="00D37078" w:rsidRPr="00D37078" w:rsidRDefault="00D37078" w:rsidP="00D37078">
      <w:r w:rsidRPr="00D37078">
        <w:rPr>
          <w:b/>
          <w:bCs/>
        </w:rPr>
        <w:t>Requirements:</w:t>
      </w:r>
      <w:r w:rsidRPr="00D37078">
        <w:t xml:space="preserve"> ICO accountability principle, employment tribunal evidence rules</w:t>
      </w:r>
      <w:r w:rsidRPr="00D37078">
        <w:br/>
      </w:r>
      <w:r w:rsidRPr="00D37078">
        <w:rPr>
          <w:b/>
          <w:bCs/>
        </w:rPr>
        <w:t>Risk Level:</w:t>
      </w:r>
      <w:r w:rsidRPr="00D37078">
        <w:t xml:space="preserve"> MEDIUM - Essential for demonstrating compliance efforts</w:t>
      </w:r>
    </w:p>
    <w:p w14:paraId="15379DD1" w14:textId="77777777" w:rsidR="00D37078" w:rsidRPr="00D37078" w:rsidRDefault="00D37078" w:rsidP="00A95C5D">
      <w:pPr>
        <w:pStyle w:val="SectionHeading"/>
      </w:pPr>
      <w:r w:rsidRPr="00D37078">
        <w:t>Checkpoint 6.1.1: Impact Assessment Documentation</w:t>
      </w:r>
    </w:p>
    <w:p w14:paraId="11AE26AE"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Data Protection Impact Assessment:</w:t>
      </w:r>
      <w:r w:rsidRPr="00D37078">
        <w:t xml:space="preserve"> Complete comprehensive DPIA for AI deployment</w:t>
      </w:r>
    </w:p>
    <w:p w14:paraId="610EAD30"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Equality Impact Assessment:</w:t>
      </w:r>
      <w:r w:rsidRPr="00D37078">
        <w:t xml:space="preserve"> Document protected characteristics impact analysis</w:t>
      </w:r>
    </w:p>
    <w:p w14:paraId="0B16EB53"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Risk Register Maintenance:</w:t>
      </w:r>
      <w:r w:rsidRPr="00D37078">
        <w:t xml:space="preserve"> Maintain current assessment of AI-related risks</w:t>
      </w:r>
    </w:p>
    <w:p w14:paraId="094E7D50"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Mitigation Evidence:</w:t>
      </w:r>
      <w:r w:rsidRPr="00D37078">
        <w:t xml:space="preserve"> Record bias reduction efforts and effectiveness measures</w:t>
      </w:r>
    </w:p>
    <w:p w14:paraId="232A1558" w14:textId="77777777" w:rsidR="00D37078" w:rsidRPr="00D37078" w:rsidRDefault="00D37078" w:rsidP="00D37078">
      <w:r w:rsidRPr="00D37078">
        <w:rPr>
          <w:b/>
          <w:bCs/>
        </w:rPr>
        <w:t>Objective:</w:t>
      </w:r>
      <w:r w:rsidRPr="00D37078">
        <w:t xml:space="preserve"> Demonstrate proactive compliance approach and due diligence</w:t>
      </w:r>
      <w:r w:rsidRPr="00D37078">
        <w:br/>
      </w:r>
      <w:r w:rsidRPr="00D37078">
        <w:rPr>
          <w:b/>
          <w:bCs/>
        </w:rPr>
        <w:t>Implementation:</w:t>
      </w:r>
      <w:r w:rsidRPr="00D37078">
        <w:t xml:space="preserve"> Establish centralized compliance documentation repository</w:t>
      </w:r>
    </w:p>
    <w:p w14:paraId="20819C0D" w14:textId="77777777" w:rsidR="00D37078" w:rsidRPr="00D37078" w:rsidRDefault="00D37078" w:rsidP="00A95C5D">
      <w:pPr>
        <w:pStyle w:val="SectionHeading"/>
      </w:pPr>
      <w:r w:rsidRPr="00D37078">
        <w:t>Checkpoint 6.1.2: Operational Records and Metrics</w:t>
      </w:r>
    </w:p>
    <w:p w14:paraId="274C525A"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Decision Audit Trails:</w:t>
      </w:r>
      <w:r w:rsidRPr="00D37078">
        <w:t xml:space="preserve"> Maintain logs of AI recommendations and human overrides</w:t>
      </w:r>
    </w:p>
    <w:p w14:paraId="35FFFFF1"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Performance Monitoring:</w:t>
      </w:r>
      <w:r w:rsidRPr="00D37078">
        <w:t xml:space="preserve"> Record accuracy, fairness, and bias metrics over time</w:t>
      </w:r>
    </w:p>
    <w:p w14:paraId="390A91B3"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Training Records:</w:t>
      </w:r>
      <w:r w:rsidRPr="00D37078">
        <w:t xml:space="preserve"> Document staff AI literacy and bias awareness training</w:t>
      </w:r>
    </w:p>
    <w:p w14:paraId="65844F00" w14:textId="77777777" w:rsidR="00D37078" w:rsidRPr="00D37078" w:rsidRDefault="00D37078" w:rsidP="00A95C5D">
      <w:pPr>
        <w:pStyle w:val="BulletList"/>
      </w:pPr>
      <w:proofErr w:type="gramStart"/>
      <w:r w:rsidRPr="00D37078">
        <w:t>[ ]</w:t>
      </w:r>
      <w:proofErr w:type="gramEnd"/>
      <w:r w:rsidRPr="00D37078">
        <w:t xml:space="preserve"> </w:t>
      </w:r>
      <w:r w:rsidRPr="00D37078">
        <w:rPr>
          <w:b/>
          <w:bCs/>
        </w:rPr>
        <w:t>Incident Management:</w:t>
      </w:r>
      <w:r w:rsidRPr="00D37078">
        <w:t xml:space="preserve"> Maintain comprehensive records of bias incidents and responses</w:t>
      </w:r>
    </w:p>
    <w:p w14:paraId="1FD79E13" w14:textId="77777777" w:rsidR="00D37078" w:rsidRPr="00D37078" w:rsidRDefault="00D37078" w:rsidP="00D37078">
      <w:r w:rsidRPr="00D37078">
        <w:rPr>
          <w:b/>
          <w:bCs/>
        </w:rPr>
        <w:lastRenderedPageBreak/>
        <w:t>Objective:</w:t>
      </w:r>
      <w:r w:rsidRPr="00D37078">
        <w:t xml:space="preserve"> Provide evidence of responsible AI governance for regulatory inquiries</w:t>
      </w:r>
      <w:r w:rsidRPr="00D37078">
        <w:br/>
      </w:r>
      <w:r w:rsidRPr="00D37078">
        <w:rPr>
          <w:b/>
          <w:bCs/>
        </w:rPr>
        <w:t>Implementation:</w:t>
      </w:r>
      <w:r w:rsidRPr="00D37078">
        <w:t xml:space="preserve"> Implement automated logging systems with appropriate retention periods</w:t>
      </w:r>
    </w:p>
    <w:p w14:paraId="48C00D4F" w14:textId="77777777" w:rsidR="00A95C5D" w:rsidRDefault="00A95C5D">
      <w:pPr>
        <w:spacing w:after="160" w:line="278" w:lineRule="auto"/>
        <w:rPr>
          <w:b/>
          <w:bCs/>
        </w:rPr>
      </w:pPr>
      <w:r>
        <w:rPr>
          <w:b/>
          <w:bCs/>
        </w:rPr>
        <w:br w:type="page"/>
      </w:r>
    </w:p>
    <w:p w14:paraId="53B8FF89" w14:textId="102724EB" w:rsidR="00D37078" w:rsidRPr="00D37078" w:rsidRDefault="00D37078" w:rsidP="00A95C5D">
      <w:pPr>
        <w:pStyle w:val="Title"/>
      </w:pPr>
      <w:r w:rsidRPr="00D37078">
        <w:lastRenderedPageBreak/>
        <w:t>Section 7: Implementation Timeline and Action Plan</w:t>
      </w:r>
    </w:p>
    <w:p w14:paraId="7B30026F" w14:textId="77777777" w:rsidR="00D37078" w:rsidRPr="00D37078" w:rsidRDefault="00D37078" w:rsidP="00A95C5D">
      <w:pPr>
        <w:pStyle w:val="SectionHeading"/>
      </w:pPr>
      <w:r w:rsidRPr="00D37078">
        <w:t>7.1 Immediate Actions (0-30 days)</w:t>
      </w:r>
    </w:p>
    <w:p w14:paraId="7BDA4A17" w14:textId="77777777" w:rsidR="00D37078" w:rsidRPr="00D37078" w:rsidRDefault="00D37078" w:rsidP="00A95C5D">
      <w:pPr>
        <w:pStyle w:val="BulletList"/>
      </w:pPr>
      <w:proofErr w:type="gramStart"/>
      <w:r w:rsidRPr="00D37078">
        <w:t>[ ]</w:t>
      </w:r>
      <w:proofErr w:type="gramEnd"/>
      <w:r w:rsidRPr="00D37078">
        <w:t xml:space="preserve"> Conduct gap analysis against current AI HR technology usage</w:t>
      </w:r>
    </w:p>
    <w:p w14:paraId="0059589C" w14:textId="77777777" w:rsidR="00D37078" w:rsidRPr="00D37078" w:rsidRDefault="00D37078" w:rsidP="00A95C5D">
      <w:pPr>
        <w:pStyle w:val="BulletList"/>
      </w:pPr>
      <w:proofErr w:type="gramStart"/>
      <w:r w:rsidRPr="00D37078">
        <w:t>[ ]</w:t>
      </w:r>
      <w:proofErr w:type="gramEnd"/>
      <w:r w:rsidRPr="00D37078">
        <w:t xml:space="preserve"> Engage legal counsel specializing in AI and employment law</w:t>
      </w:r>
    </w:p>
    <w:p w14:paraId="7EA8FCB5" w14:textId="77777777" w:rsidR="00D37078" w:rsidRPr="00D37078" w:rsidRDefault="00D37078" w:rsidP="00A95C5D">
      <w:pPr>
        <w:pStyle w:val="BulletList"/>
      </w:pPr>
      <w:proofErr w:type="gramStart"/>
      <w:r w:rsidRPr="00D37078">
        <w:t>[ ]</w:t>
      </w:r>
      <w:proofErr w:type="gramEnd"/>
      <w:r w:rsidRPr="00D37078">
        <w:t xml:space="preserve"> Begin comprehensive vendor due diligence process</w:t>
      </w:r>
    </w:p>
    <w:p w14:paraId="33F3BA1F" w14:textId="77777777" w:rsidR="00D37078" w:rsidRPr="00D37078" w:rsidRDefault="00D37078" w:rsidP="00A95C5D">
      <w:pPr>
        <w:pStyle w:val="BulletList"/>
      </w:pPr>
      <w:proofErr w:type="gramStart"/>
      <w:r w:rsidRPr="00D37078">
        <w:t>[ ]</w:t>
      </w:r>
      <w:proofErr w:type="gramEnd"/>
      <w:r w:rsidRPr="00D37078">
        <w:t xml:space="preserve"> Initiate Data Protection Impact Assessment procedures</w:t>
      </w:r>
    </w:p>
    <w:p w14:paraId="2837FD9F" w14:textId="77777777" w:rsidR="00D37078" w:rsidRPr="00D37078" w:rsidRDefault="00D37078" w:rsidP="00A95C5D">
      <w:pPr>
        <w:pStyle w:val="SectionHeading"/>
      </w:pPr>
      <w:r w:rsidRPr="00D37078">
        <w:t>7.2 Short-term Implementation (30-90 days)</w:t>
      </w:r>
    </w:p>
    <w:p w14:paraId="070985BF" w14:textId="77777777" w:rsidR="00D37078" w:rsidRPr="00D37078" w:rsidRDefault="00D37078" w:rsidP="00A95C5D">
      <w:pPr>
        <w:pStyle w:val="BulletList"/>
      </w:pPr>
      <w:proofErr w:type="gramStart"/>
      <w:r w:rsidRPr="00D37078">
        <w:t>[ ]</w:t>
      </w:r>
      <w:proofErr w:type="gramEnd"/>
      <w:r w:rsidRPr="00D37078">
        <w:t xml:space="preserve"> Complete bias testing and fairness assessment of existing systems</w:t>
      </w:r>
    </w:p>
    <w:p w14:paraId="135CA0B8" w14:textId="77777777" w:rsidR="00D37078" w:rsidRPr="00D37078" w:rsidRDefault="00D37078" w:rsidP="00A95C5D">
      <w:pPr>
        <w:pStyle w:val="BulletList"/>
      </w:pPr>
      <w:proofErr w:type="gramStart"/>
      <w:r w:rsidRPr="00D37078">
        <w:t>[ ]</w:t>
      </w:r>
      <w:proofErr w:type="gramEnd"/>
      <w:r w:rsidRPr="00D37078">
        <w:t xml:space="preserve"> Update privacy notices and candidate communication materials</w:t>
      </w:r>
    </w:p>
    <w:p w14:paraId="638E6C63" w14:textId="77777777" w:rsidR="00D37078" w:rsidRPr="00D37078" w:rsidRDefault="00D37078" w:rsidP="00A95C5D">
      <w:pPr>
        <w:pStyle w:val="BulletList"/>
      </w:pPr>
      <w:proofErr w:type="gramStart"/>
      <w:r w:rsidRPr="00D37078">
        <w:t>[ ]</w:t>
      </w:r>
      <w:proofErr w:type="gramEnd"/>
      <w:r w:rsidRPr="00D37078">
        <w:t xml:space="preserve"> Implement human oversight procedures and training programs</w:t>
      </w:r>
    </w:p>
    <w:p w14:paraId="69E0FEFC" w14:textId="77777777" w:rsidR="00D37078" w:rsidRPr="00D37078" w:rsidRDefault="00D37078" w:rsidP="00A95C5D">
      <w:pPr>
        <w:pStyle w:val="BulletList"/>
      </w:pPr>
      <w:proofErr w:type="gramStart"/>
      <w:r w:rsidRPr="00D37078">
        <w:t>[ ]</w:t>
      </w:r>
      <w:proofErr w:type="gramEnd"/>
      <w:r w:rsidRPr="00D37078">
        <w:t xml:space="preserve"> Establish vendor management and audit frameworks</w:t>
      </w:r>
    </w:p>
    <w:p w14:paraId="77A2EE66" w14:textId="77777777" w:rsidR="00D37078" w:rsidRPr="00D37078" w:rsidRDefault="00D37078" w:rsidP="00A95C5D">
      <w:pPr>
        <w:pStyle w:val="SectionHeading"/>
      </w:pPr>
      <w:r w:rsidRPr="00D37078">
        <w:t>7.3 Medium-term Compliance (90-180 days)</w:t>
      </w:r>
    </w:p>
    <w:p w14:paraId="40A0ABA0" w14:textId="77777777" w:rsidR="00D37078" w:rsidRPr="00D37078" w:rsidRDefault="00D37078" w:rsidP="00A95C5D">
      <w:pPr>
        <w:pStyle w:val="BulletList"/>
      </w:pPr>
      <w:proofErr w:type="gramStart"/>
      <w:r w:rsidRPr="00D37078">
        <w:t>[ ]</w:t>
      </w:r>
      <w:proofErr w:type="gramEnd"/>
      <w:r w:rsidRPr="00D37078">
        <w:t xml:space="preserve"> Complete contractual reviews and risk allocation negotiations</w:t>
      </w:r>
    </w:p>
    <w:p w14:paraId="6EE4FA9B" w14:textId="77777777" w:rsidR="00D37078" w:rsidRPr="00D37078" w:rsidRDefault="00D37078" w:rsidP="00A95C5D">
      <w:pPr>
        <w:pStyle w:val="BulletList"/>
      </w:pPr>
      <w:proofErr w:type="gramStart"/>
      <w:r w:rsidRPr="00D37078">
        <w:t>[ ]</w:t>
      </w:r>
      <w:proofErr w:type="gramEnd"/>
      <w:r w:rsidRPr="00D37078">
        <w:t xml:space="preserve"> Implement comprehensive monitoring and reporting systems</w:t>
      </w:r>
    </w:p>
    <w:p w14:paraId="616EF236" w14:textId="77777777" w:rsidR="00D37078" w:rsidRPr="00D37078" w:rsidRDefault="00D37078" w:rsidP="00A95C5D">
      <w:pPr>
        <w:pStyle w:val="BulletList"/>
      </w:pPr>
      <w:proofErr w:type="gramStart"/>
      <w:r w:rsidRPr="00D37078">
        <w:t>[ ]</w:t>
      </w:r>
      <w:proofErr w:type="gramEnd"/>
      <w:r w:rsidRPr="00D37078">
        <w:t xml:space="preserve"> Conduct staff training on new procedures and legal requirements</w:t>
      </w:r>
    </w:p>
    <w:p w14:paraId="784EDCA7" w14:textId="77777777" w:rsidR="00D37078" w:rsidRPr="00D37078" w:rsidRDefault="00D37078" w:rsidP="00A95C5D">
      <w:pPr>
        <w:pStyle w:val="BulletList"/>
      </w:pPr>
      <w:proofErr w:type="gramStart"/>
      <w:r w:rsidRPr="00D37078">
        <w:t>[ ]</w:t>
      </w:r>
      <w:proofErr w:type="gramEnd"/>
      <w:r w:rsidRPr="00D37078">
        <w:t xml:space="preserve"> Establish appeal mechanisms and candidate communication processes</w:t>
      </w:r>
    </w:p>
    <w:p w14:paraId="0473E71C" w14:textId="77777777" w:rsidR="00D37078" w:rsidRPr="00D37078" w:rsidRDefault="00D37078" w:rsidP="00A95C5D">
      <w:pPr>
        <w:pStyle w:val="SectionHeading"/>
      </w:pPr>
      <w:r w:rsidRPr="00D37078">
        <w:t>7.4 Ongoing Compliance (Quarterly)</w:t>
      </w:r>
    </w:p>
    <w:p w14:paraId="6D75DB23" w14:textId="77777777" w:rsidR="00D37078" w:rsidRPr="00D37078" w:rsidRDefault="00D37078" w:rsidP="00A95C5D">
      <w:pPr>
        <w:pStyle w:val="BulletList"/>
      </w:pPr>
      <w:proofErr w:type="gramStart"/>
      <w:r w:rsidRPr="00D37078">
        <w:t>[ ]</w:t>
      </w:r>
      <w:proofErr w:type="gramEnd"/>
      <w:r w:rsidRPr="00D37078">
        <w:t xml:space="preserve"> Conduct quarterly bias assessments and fairness reviews</w:t>
      </w:r>
    </w:p>
    <w:p w14:paraId="5D64AFDF" w14:textId="77777777" w:rsidR="00D37078" w:rsidRPr="00D37078" w:rsidRDefault="00D37078" w:rsidP="00A95C5D">
      <w:pPr>
        <w:pStyle w:val="BulletList"/>
      </w:pPr>
      <w:proofErr w:type="gramStart"/>
      <w:r w:rsidRPr="00D37078">
        <w:t>[ ]</w:t>
      </w:r>
      <w:proofErr w:type="gramEnd"/>
      <w:r w:rsidRPr="00D37078">
        <w:t xml:space="preserve"> Monitor regulatory developments and guidance updates</w:t>
      </w:r>
    </w:p>
    <w:p w14:paraId="7ABBD60D" w14:textId="77777777" w:rsidR="00D37078" w:rsidRPr="00D37078" w:rsidRDefault="00D37078" w:rsidP="00A95C5D">
      <w:pPr>
        <w:pStyle w:val="BulletList"/>
      </w:pPr>
      <w:proofErr w:type="gramStart"/>
      <w:r w:rsidRPr="00D37078">
        <w:t>[ ]</w:t>
      </w:r>
      <w:proofErr w:type="gramEnd"/>
      <w:r w:rsidRPr="00D37078">
        <w:t xml:space="preserve"> Review and update documentation and procedures</w:t>
      </w:r>
    </w:p>
    <w:p w14:paraId="130F9AF9" w14:textId="77777777" w:rsidR="00D37078" w:rsidRPr="00D37078" w:rsidRDefault="00D37078" w:rsidP="00A95C5D">
      <w:pPr>
        <w:pStyle w:val="BulletList"/>
      </w:pPr>
      <w:proofErr w:type="gramStart"/>
      <w:r w:rsidRPr="00D37078">
        <w:t>[ ]</w:t>
      </w:r>
      <w:proofErr w:type="gramEnd"/>
      <w:r w:rsidRPr="00D37078">
        <w:t xml:space="preserve"> Assess vendor performance and compliance maintenance</w:t>
      </w:r>
    </w:p>
    <w:p w14:paraId="4980914D" w14:textId="77777777" w:rsidR="00A95C5D" w:rsidRDefault="00A95C5D">
      <w:pPr>
        <w:spacing w:after="160" w:line="278" w:lineRule="auto"/>
        <w:rPr>
          <w:b/>
          <w:bCs/>
        </w:rPr>
      </w:pPr>
      <w:r>
        <w:rPr>
          <w:b/>
          <w:bCs/>
        </w:rPr>
        <w:br w:type="page"/>
      </w:r>
    </w:p>
    <w:p w14:paraId="4E06FDBB" w14:textId="42C98F05" w:rsidR="00D37078" w:rsidRPr="00D37078" w:rsidRDefault="00D37078" w:rsidP="00A95C5D">
      <w:pPr>
        <w:pStyle w:val="Title"/>
      </w:pPr>
      <w:r w:rsidRPr="00D37078">
        <w:lastRenderedPageBreak/>
        <w:t>Regulatory Change Monitoring</w:t>
      </w:r>
    </w:p>
    <w:p w14:paraId="7D40E099" w14:textId="77777777" w:rsidR="00D37078" w:rsidRPr="00D37078" w:rsidRDefault="00D37078" w:rsidP="00A95C5D">
      <w:pPr>
        <w:pStyle w:val="Subtitle"/>
      </w:pPr>
      <w:r w:rsidRPr="00D37078">
        <w:t>Key Regulatory Developments to Monitor:</w:t>
      </w:r>
    </w:p>
    <w:p w14:paraId="3CF53C7A" w14:textId="77777777" w:rsidR="00D37078" w:rsidRPr="00D37078" w:rsidRDefault="00D37078" w:rsidP="00A95C5D">
      <w:pPr>
        <w:pStyle w:val="BulletList"/>
      </w:pPr>
      <w:r w:rsidRPr="00D37078">
        <w:rPr>
          <w:b/>
          <w:bCs/>
        </w:rPr>
        <w:t>ICO AI Guidance Updates:</w:t>
      </w:r>
      <w:r w:rsidRPr="00D37078">
        <w:t xml:space="preserve"> Expected winter 2025/26 following recruitment audits</w:t>
      </w:r>
    </w:p>
    <w:p w14:paraId="271DE791" w14:textId="77777777" w:rsidR="00D37078" w:rsidRPr="00D37078" w:rsidRDefault="00D37078" w:rsidP="00A95C5D">
      <w:pPr>
        <w:pStyle w:val="BulletList"/>
      </w:pPr>
      <w:r w:rsidRPr="00D37078">
        <w:rPr>
          <w:b/>
          <w:bCs/>
        </w:rPr>
        <w:t>Cybersecurity and Resilience Bill:</w:t>
      </w:r>
      <w:r w:rsidRPr="00D37078">
        <w:t xml:space="preserve"> Parliamentary progress and implementation timeline</w:t>
      </w:r>
    </w:p>
    <w:p w14:paraId="414977F3" w14:textId="77777777" w:rsidR="00D37078" w:rsidRPr="00D37078" w:rsidRDefault="00D37078" w:rsidP="00A95C5D">
      <w:pPr>
        <w:pStyle w:val="BulletList"/>
      </w:pPr>
      <w:r w:rsidRPr="00D37078">
        <w:rPr>
          <w:b/>
          <w:bCs/>
        </w:rPr>
        <w:t>Data (Use and Access) Act Implementation:</w:t>
      </w:r>
      <w:r w:rsidRPr="00D37078">
        <w:t xml:space="preserve"> Phased rollout of new provisions</w:t>
      </w:r>
    </w:p>
    <w:p w14:paraId="3A8B69B0" w14:textId="77777777" w:rsidR="00D37078" w:rsidRPr="00D37078" w:rsidRDefault="00D37078" w:rsidP="00A95C5D">
      <w:pPr>
        <w:pStyle w:val="BulletList"/>
      </w:pPr>
      <w:r w:rsidRPr="00D37078">
        <w:rPr>
          <w:b/>
          <w:bCs/>
        </w:rPr>
        <w:t>Case Law Development:</w:t>
      </w:r>
      <w:r w:rsidRPr="00D37078">
        <w:t xml:space="preserve"> Employment tribunal decisions on AI discrimination claims</w:t>
      </w:r>
    </w:p>
    <w:p w14:paraId="11625890" w14:textId="77777777" w:rsidR="00D37078" w:rsidRPr="00D37078" w:rsidRDefault="00D37078" w:rsidP="00A95C5D">
      <w:pPr>
        <w:pStyle w:val="Subtitle"/>
      </w:pPr>
      <w:r w:rsidRPr="00D37078">
        <w:t>Information Sources:</w:t>
      </w:r>
    </w:p>
    <w:p w14:paraId="04EC34B4" w14:textId="77777777" w:rsidR="00D37078" w:rsidRPr="00D37078" w:rsidRDefault="00D37078" w:rsidP="00A95C5D">
      <w:pPr>
        <w:pStyle w:val="BulletList"/>
      </w:pPr>
      <w:r w:rsidRPr="00D37078">
        <w:t>ICO website and consultation responses</w:t>
      </w:r>
    </w:p>
    <w:p w14:paraId="74AE8D31" w14:textId="77777777" w:rsidR="00D37078" w:rsidRPr="00D37078" w:rsidRDefault="00D37078" w:rsidP="00A95C5D">
      <w:pPr>
        <w:pStyle w:val="BulletList"/>
      </w:pPr>
      <w:r w:rsidRPr="00D37078">
        <w:t>UK Parliament legislation tracker</w:t>
      </w:r>
    </w:p>
    <w:p w14:paraId="676B8CA8" w14:textId="77777777" w:rsidR="00D37078" w:rsidRPr="00D37078" w:rsidRDefault="00D37078" w:rsidP="00A95C5D">
      <w:pPr>
        <w:pStyle w:val="BulletList"/>
      </w:pPr>
      <w:r w:rsidRPr="00D37078">
        <w:t>ACAS guidance updates</w:t>
      </w:r>
    </w:p>
    <w:p w14:paraId="23FFEC9D" w14:textId="77777777" w:rsidR="00D37078" w:rsidRDefault="00D37078" w:rsidP="00A95C5D">
      <w:pPr>
        <w:pStyle w:val="BulletList"/>
      </w:pPr>
      <w:r w:rsidRPr="00D37078">
        <w:t>Legal databases for tribunal decisions</w:t>
      </w:r>
    </w:p>
    <w:p w14:paraId="235F16C1" w14:textId="7C489A60" w:rsidR="00D37078" w:rsidRPr="00D37078" w:rsidRDefault="00D37078" w:rsidP="00C01054">
      <w:pPr>
        <w:spacing w:after="160" w:line="278" w:lineRule="auto"/>
        <w:rPr>
          <w:b/>
          <w:bCs/>
        </w:rPr>
      </w:pPr>
      <w:r w:rsidRPr="00D37078">
        <w:rPr>
          <w:b/>
          <w:bCs/>
        </w:rPr>
        <w:t>Document Control</w:t>
      </w:r>
    </w:p>
    <w:p w14:paraId="11F89C52" w14:textId="77777777" w:rsidR="00D37078" w:rsidRDefault="00D37078" w:rsidP="00D37078">
      <w:pPr>
        <w:rPr>
          <w:b/>
          <w:bCs/>
        </w:rPr>
      </w:pPr>
      <w:r w:rsidRPr="00D37078">
        <w:rPr>
          <w:b/>
          <w:bCs/>
        </w:rPr>
        <w:t>Version History:</w:t>
      </w:r>
    </w:p>
    <w:p w14:paraId="7B3A13D0" w14:textId="77777777" w:rsidR="00C01054" w:rsidRPr="00D37078" w:rsidRDefault="00C01054" w:rsidP="00C01054">
      <w:pPr>
        <w:pStyle w:val="BulletList"/>
      </w:pPr>
    </w:p>
    <w:p w14:paraId="325CBB4B" w14:textId="77777777" w:rsidR="00D37078" w:rsidRPr="00D37078" w:rsidRDefault="00D37078" w:rsidP="00D37078">
      <w:r w:rsidRPr="00D37078">
        <w:rPr>
          <w:b/>
          <w:bCs/>
        </w:rPr>
        <w:t>Distribution List:</w:t>
      </w:r>
    </w:p>
    <w:p w14:paraId="2A89F41B" w14:textId="77777777" w:rsidR="00D37078" w:rsidRPr="00D37078" w:rsidRDefault="00D37078" w:rsidP="00C01054">
      <w:pPr>
        <w:pStyle w:val="BulletList"/>
      </w:pPr>
      <w:r w:rsidRPr="00D37078">
        <w:t>Head of Talent Acquisition - UK</w:t>
      </w:r>
    </w:p>
    <w:p w14:paraId="09666AB5" w14:textId="77777777" w:rsidR="00D37078" w:rsidRPr="00D37078" w:rsidRDefault="00D37078" w:rsidP="00C01054">
      <w:pPr>
        <w:pStyle w:val="BulletList"/>
      </w:pPr>
      <w:r w:rsidRPr="00D37078">
        <w:t>Legal Counsel - Employment Law</w:t>
      </w:r>
    </w:p>
    <w:p w14:paraId="39184C64" w14:textId="77777777" w:rsidR="00D37078" w:rsidRPr="00D37078" w:rsidRDefault="00D37078" w:rsidP="00C01054">
      <w:pPr>
        <w:pStyle w:val="BulletList"/>
      </w:pPr>
      <w:r w:rsidRPr="00D37078">
        <w:t>Data Protection Officer</w:t>
      </w:r>
    </w:p>
    <w:p w14:paraId="7437595D" w14:textId="77777777" w:rsidR="00D37078" w:rsidRPr="00D37078" w:rsidRDefault="00D37078" w:rsidP="00C01054">
      <w:pPr>
        <w:pStyle w:val="BulletList"/>
      </w:pPr>
      <w:r w:rsidRPr="00D37078">
        <w:t>Head of Information Security</w:t>
      </w:r>
    </w:p>
    <w:p w14:paraId="0A6C381A" w14:textId="77777777" w:rsidR="00D37078" w:rsidRPr="00D37078" w:rsidRDefault="00D37078" w:rsidP="00C01054">
      <w:pPr>
        <w:pStyle w:val="BulletList"/>
      </w:pPr>
      <w:r w:rsidRPr="00D37078">
        <w:t>Senior HR Business Partners</w:t>
      </w:r>
    </w:p>
    <w:p w14:paraId="3144DD3B" w14:textId="2DDD2157" w:rsidR="00C01054" w:rsidRDefault="00D37078" w:rsidP="00D37078">
      <w:r w:rsidRPr="00D37078">
        <w:rPr>
          <w:b/>
          <w:bCs/>
        </w:rPr>
        <w:t>Next Review Date:</w:t>
      </w:r>
      <w:r w:rsidRPr="00D37078">
        <w:t xml:space="preserve"> </w:t>
      </w:r>
      <w:r w:rsidR="00C01054">
        <w:t>[Date]</w:t>
      </w:r>
    </w:p>
    <w:p w14:paraId="74B105E6" w14:textId="4A6574F6" w:rsidR="00D37078" w:rsidRPr="00D37078" w:rsidRDefault="00D37078" w:rsidP="00D37078">
      <w:r w:rsidRPr="00D37078">
        <w:rPr>
          <w:b/>
          <w:bCs/>
        </w:rPr>
        <w:t>Approval Required:</w:t>
      </w:r>
      <w:r w:rsidRPr="00D37078">
        <w:t xml:space="preserve"> </w:t>
      </w:r>
      <w:r w:rsidR="00C01054">
        <w:t>[</w:t>
      </w:r>
      <w:r w:rsidRPr="00D37078">
        <w:t>Legal Counsel and DPO sign-off</w:t>
      </w:r>
      <w:r w:rsidR="00C01054">
        <w:t>]</w:t>
      </w:r>
    </w:p>
    <w:p w14:paraId="3DCC4BF1" w14:textId="02974600" w:rsidR="004C709E" w:rsidRPr="004C709E" w:rsidRDefault="00C27A13" w:rsidP="00846E76">
      <w:r>
        <w:pict w14:anchorId="52614462">
          <v:rect id="_x0000_i1036" style="width:0;height:1.5pt" o:hralign="center" o:hrstd="t" o:hr="t" fillcolor="#a0a0a0" stroked="f"/>
        </w:pict>
      </w:r>
    </w:p>
    <w:sectPr w:rsidR="004C709E" w:rsidRPr="004C709E" w:rsidSect="000C513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79A5" w14:textId="77777777" w:rsidR="00D37078" w:rsidRDefault="00D37078" w:rsidP="004C709E">
      <w:pPr>
        <w:spacing w:after="0" w:line="240" w:lineRule="auto"/>
      </w:pPr>
      <w:r>
        <w:separator/>
      </w:r>
    </w:p>
  </w:endnote>
  <w:endnote w:type="continuationSeparator" w:id="0">
    <w:p w14:paraId="4B7DB754" w14:textId="77777777" w:rsidR="00D37078" w:rsidRDefault="00D37078" w:rsidP="004C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25A2" w14:textId="77777777" w:rsidR="00D37078" w:rsidRDefault="00D37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0"/>
      <w:gridCol w:w="2369"/>
      <w:gridCol w:w="3312"/>
    </w:tblGrid>
    <w:tr w:rsidR="00D37078" w:rsidRPr="00FC2346" w14:paraId="2148D5A7" w14:textId="77777777" w:rsidTr="00D37078">
      <w:tc>
        <w:tcPr>
          <w:tcW w:w="3350" w:type="dxa"/>
        </w:tcPr>
        <w:p w14:paraId="0518FAEE" w14:textId="77777777" w:rsidR="00D37078" w:rsidRPr="00FC2346" w:rsidRDefault="00D37078">
          <w:pPr>
            <w:pStyle w:val="Footer"/>
            <w:rPr>
              <w:b/>
              <w:bCs/>
              <w:sz w:val="18"/>
              <w:szCs w:val="18"/>
            </w:rPr>
          </w:pPr>
          <w:r w:rsidRPr="00FC2346">
            <w:rPr>
              <w:b/>
              <w:bCs/>
              <w:sz w:val="18"/>
              <w:szCs w:val="18"/>
            </w:rPr>
            <w:t>TalentMatched.com</w:t>
          </w:r>
        </w:p>
      </w:tc>
      <w:tc>
        <w:tcPr>
          <w:tcW w:w="2369" w:type="dxa"/>
        </w:tcPr>
        <w:p w14:paraId="0654DD2B" w14:textId="6D56C095" w:rsidR="00D37078" w:rsidRPr="00D37078" w:rsidRDefault="00D37078" w:rsidP="00D37078">
          <w:pPr>
            <w:rPr>
              <w:b/>
              <w:bCs/>
            </w:rPr>
          </w:pPr>
          <w:r w:rsidRPr="00D37078">
            <w:rPr>
              <w:b/>
              <w:bCs/>
            </w:rPr>
            <w:t>CONFIDENTIAL</w:t>
          </w:r>
          <w:r>
            <w:rPr>
              <w:sz w:val="18"/>
              <w:szCs w:val="18"/>
            </w:rPr>
            <w:tab/>
          </w:r>
        </w:p>
      </w:tc>
      <w:tc>
        <w:tcPr>
          <w:tcW w:w="3312" w:type="dxa"/>
        </w:tcPr>
        <w:p w14:paraId="2A5F3389" w14:textId="6103E435" w:rsidR="00D37078" w:rsidRPr="00D37078" w:rsidRDefault="00D37078" w:rsidP="00D37078">
          <w:pPr>
            <w:jc w:val="right"/>
            <w:rPr>
              <w:b/>
              <w:bCs/>
            </w:rPr>
          </w:pPr>
          <w:r>
            <w:rPr>
              <w:sz w:val="18"/>
              <w:szCs w:val="18"/>
            </w:rPr>
            <w:tab/>
          </w:r>
          <w:r w:rsidRPr="00FC2346">
            <w:rPr>
              <w:sz w:val="18"/>
              <w:szCs w:val="18"/>
            </w:rPr>
            <w:t xml:space="preserve">Page | </w:t>
          </w:r>
          <w:r w:rsidRPr="00FC2346">
            <w:rPr>
              <w:sz w:val="18"/>
              <w:szCs w:val="18"/>
            </w:rPr>
            <w:fldChar w:fldCharType="begin"/>
          </w:r>
          <w:r w:rsidRPr="00FC2346">
            <w:rPr>
              <w:sz w:val="18"/>
              <w:szCs w:val="18"/>
            </w:rPr>
            <w:instrText xml:space="preserve"> PAGE   \* MERGEFORMAT </w:instrText>
          </w:r>
          <w:r w:rsidRPr="00FC2346">
            <w:rPr>
              <w:sz w:val="18"/>
              <w:szCs w:val="18"/>
            </w:rPr>
            <w:fldChar w:fldCharType="separate"/>
          </w:r>
          <w:r w:rsidRPr="00FC2346">
            <w:rPr>
              <w:noProof/>
              <w:sz w:val="18"/>
              <w:szCs w:val="18"/>
            </w:rPr>
            <w:t>1</w:t>
          </w:r>
          <w:r w:rsidRPr="00FC2346">
            <w:rPr>
              <w:noProof/>
              <w:sz w:val="18"/>
              <w:szCs w:val="18"/>
            </w:rPr>
            <w:fldChar w:fldCharType="end"/>
          </w:r>
        </w:p>
      </w:tc>
    </w:tr>
  </w:tbl>
  <w:p w14:paraId="02393B11" w14:textId="77777777" w:rsidR="00F87178" w:rsidRPr="00FC2346" w:rsidRDefault="00F87178">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58D0" w14:textId="77777777" w:rsidR="00D37078" w:rsidRDefault="00D37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06BD" w14:textId="77777777" w:rsidR="00D37078" w:rsidRDefault="00D37078" w:rsidP="004C709E">
      <w:pPr>
        <w:spacing w:after="0" w:line="240" w:lineRule="auto"/>
      </w:pPr>
      <w:r>
        <w:separator/>
      </w:r>
    </w:p>
  </w:footnote>
  <w:footnote w:type="continuationSeparator" w:id="0">
    <w:p w14:paraId="4399E1E0" w14:textId="77777777" w:rsidR="00D37078" w:rsidRDefault="00D37078" w:rsidP="004C7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DAE5" w14:textId="77777777" w:rsidR="00D37078" w:rsidRDefault="00D37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C709E" w14:paraId="71D6DF79" w14:textId="77777777" w:rsidTr="00370328">
      <w:tc>
        <w:tcPr>
          <w:tcW w:w="4508" w:type="dxa"/>
        </w:tcPr>
        <w:p w14:paraId="5B9C3324" w14:textId="77777777" w:rsidR="004C709E" w:rsidRDefault="004C709E">
          <w:pPr>
            <w:pStyle w:val="Header"/>
          </w:pPr>
          <w:r>
            <w:rPr>
              <w:noProof/>
            </w:rPr>
            <w:drawing>
              <wp:anchor distT="180340" distB="180340" distL="180340" distR="180340" simplePos="0" relativeHeight="251658240" behindDoc="0" locked="0" layoutInCell="1" allowOverlap="1" wp14:anchorId="16FC38B5" wp14:editId="65183664">
                <wp:simplePos x="0" y="0"/>
                <wp:positionH relativeFrom="column">
                  <wp:posOffset>4445</wp:posOffset>
                </wp:positionH>
                <wp:positionV relativeFrom="paragraph">
                  <wp:posOffset>1270</wp:posOffset>
                </wp:positionV>
                <wp:extent cx="1904400" cy="360000"/>
                <wp:effectExtent l="0" t="0" r="635" b="2540"/>
                <wp:wrapSquare wrapText="bothSides"/>
                <wp:docPr id="107265088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85024"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44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4508" w:type="dxa"/>
        </w:tcPr>
        <w:p w14:paraId="1262C2C6" w14:textId="77777777" w:rsidR="004C709E" w:rsidRDefault="004C709E" w:rsidP="004C709E">
          <w:pPr>
            <w:pStyle w:val="Header"/>
            <w:jc w:val="right"/>
          </w:pPr>
          <w:r>
            <w:t>CONFIDENTIAL</w:t>
          </w:r>
        </w:p>
      </w:tc>
    </w:tr>
  </w:tbl>
  <w:p w14:paraId="5B4811FA" w14:textId="77777777" w:rsidR="004C709E" w:rsidRDefault="004C7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070C" w14:textId="77777777" w:rsidR="00D37078" w:rsidRDefault="00D37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0C"/>
    <w:multiLevelType w:val="multilevel"/>
    <w:tmpl w:val="8EF6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73C0D"/>
    <w:multiLevelType w:val="multilevel"/>
    <w:tmpl w:val="F1AE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C61"/>
    <w:multiLevelType w:val="multilevel"/>
    <w:tmpl w:val="ADB8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952CA"/>
    <w:multiLevelType w:val="multilevel"/>
    <w:tmpl w:val="AEDE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F60DE"/>
    <w:multiLevelType w:val="multilevel"/>
    <w:tmpl w:val="C130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870EF"/>
    <w:multiLevelType w:val="multilevel"/>
    <w:tmpl w:val="BCE8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E1AC3"/>
    <w:multiLevelType w:val="multilevel"/>
    <w:tmpl w:val="DA6E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316E4"/>
    <w:multiLevelType w:val="multilevel"/>
    <w:tmpl w:val="A8D6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770E3"/>
    <w:multiLevelType w:val="multilevel"/>
    <w:tmpl w:val="08B2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06A28"/>
    <w:multiLevelType w:val="multilevel"/>
    <w:tmpl w:val="7D4A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D7835"/>
    <w:multiLevelType w:val="multilevel"/>
    <w:tmpl w:val="B1A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07383"/>
    <w:multiLevelType w:val="multilevel"/>
    <w:tmpl w:val="8E32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D1A96"/>
    <w:multiLevelType w:val="multilevel"/>
    <w:tmpl w:val="3D70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17CA7"/>
    <w:multiLevelType w:val="hybridMultilevel"/>
    <w:tmpl w:val="124C45EA"/>
    <w:lvl w:ilvl="0" w:tplc="05B2F5E0">
      <w:start w:val="1"/>
      <w:numFmt w:val="bullet"/>
      <w:pStyle w:val="BulletList"/>
      <w:lvlText w:val=""/>
      <w:lvlJc w:val="left"/>
      <w:pPr>
        <w:ind w:left="644" w:hanging="360"/>
      </w:pPr>
      <w:rPr>
        <w:rFonts w:ascii="Wingdings" w:hAnsi="Wingdings" w:hint="default"/>
        <w:color w:val="B49755"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C5F89"/>
    <w:multiLevelType w:val="multilevel"/>
    <w:tmpl w:val="CEDC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01AC1"/>
    <w:multiLevelType w:val="multilevel"/>
    <w:tmpl w:val="1A4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D0029"/>
    <w:multiLevelType w:val="multilevel"/>
    <w:tmpl w:val="81BA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B4873"/>
    <w:multiLevelType w:val="multilevel"/>
    <w:tmpl w:val="611A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121467"/>
    <w:multiLevelType w:val="multilevel"/>
    <w:tmpl w:val="BCF0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2A740D"/>
    <w:multiLevelType w:val="multilevel"/>
    <w:tmpl w:val="F1A6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9A7FFE"/>
    <w:multiLevelType w:val="multilevel"/>
    <w:tmpl w:val="ECCA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D79FF"/>
    <w:multiLevelType w:val="multilevel"/>
    <w:tmpl w:val="E8BA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05E6B"/>
    <w:multiLevelType w:val="multilevel"/>
    <w:tmpl w:val="014E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D2CF1"/>
    <w:multiLevelType w:val="multilevel"/>
    <w:tmpl w:val="CA3C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B5215"/>
    <w:multiLevelType w:val="multilevel"/>
    <w:tmpl w:val="4C3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279015">
    <w:abstractNumId w:val="13"/>
  </w:num>
  <w:num w:numId="2" w16cid:durableId="902254924">
    <w:abstractNumId w:val="23"/>
  </w:num>
  <w:num w:numId="3" w16cid:durableId="1579242934">
    <w:abstractNumId w:val="5"/>
  </w:num>
  <w:num w:numId="4" w16cid:durableId="445278302">
    <w:abstractNumId w:val="20"/>
  </w:num>
  <w:num w:numId="5" w16cid:durableId="914751617">
    <w:abstractNumId w:val="10"/>
  </w:num>
  <w:num w:numId="6" w16cid:durableId="1600022740">
    <w:abstractNumId w:val="22"/>
  </w:num>
  <w:num w:numId="7" w16cid:durableId="1324309696">
    <w:abstractNumId w:val="18"/>
  </w:num>
  <w:num w:numId="8" w16cid:durableId="299966927">
    <w:abstractNumId w:val="4"/>
  </w:num>
  <w:num w:numId="9" w16cid:durableId="928077474">
    <w:abstractNumId w:val="14"/>
  </w:num>
  <w:num w:numId="10" w16cid:durableId="446195939">
    <w:abstractNumId w:val="17"/>
  </w:num>
  <w:num w:numId="11" w16cid:durableId="1073813837">
    <w:abstractNumId w:val="3"/>
  </w:num>
  <w:num w:numId="12" w16cid:durableId="1067456039">
    <w:abstractNumId w:val="19"/>
  </w:num>
  <w:num w:numId="13" w16cid:durableId="1023214488">
    <w:abstractNumId w:val="24"/>
  </w:num>
  <w:num w:numId="14" w16cid:durableId="2047177680">
    <w:abstractNumId w:val="0"/>
  </w:num>
  <w:num w:numId="15" w16cid:durableId="14383329">
    <w:abstractNumId w:val="15"/>
  </w:num>
  <w:num w:numId="16" w16cid:durableId="864556106">
    <w:abstractNumId w:val="7"/>
  </w:num>
  <w:num w:numId="17" w16cid:durableId="1633710819">
    <w:abstractNumId w:val="1"/>
  </w:num>
  <w:num w:numId="18" w16cid:durableId="619530637">
    <w:abstractNumId w:val="12"/>
  </w:num>
  <w:num w:numId="19" w16cid:durableId="1912040051">
    <w:abstractNumId w:val="21"/>
  </w:num>
  <w:num w:numId="20" w16cid:durableId="792362502">
    <w:abstractNumId w:val="6"/>
  </w:num>
  <w:num w:numId="21" w16cid:durableId="1267157974">
    <w:abstractNumId w:val="2"/>
  </w:num>
  <w:num w:numId="22" w16cid:durableId="1574268370">
    <w:abstractNumId w:val="9"/>
  </w:num>
  <w:num w:numId="23" w16cid:durableId="1623152282">
    <w:abstractNumId w:val="16"/>
  </w:num>
  <w:num w:numId="24" w16cid:durableId="437138720">
    <w:abstractNumId w:val="8"/>
  </w:num>
  <w:num w:numId="25" w16cid:durableId="12184673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78"/>
    <w:rsid w:val="000807EF"/>
    <w:rsid w:val="000828D1"/>
    <w:rsid w:val="00087BAE"/>
    <w:rsid w:val="000C513F"/>
    <w:rsid w:val="00136086"/>
    <w:rsid w:val="00194598"/>
    <w:rsid w:val="00246011"/>
    <w:rsid w:val="00333622"/>
    <w:rsid w:val="00361F85"/>
    <w:rsid w:val="00370328"/>
    <w:rsid w:val="00375332"/>
    <w:rsid w:val="00410B22"/>
    <w:rsid w:val="004119BD"/>
    <w:rsid w:val="00445125"/>
    <w:rsid w:val="004C709E"/>
    <w:rsid w:val="00542C4A"/>
    <w:rsid w:val="00655DB8"/>
    <w:rsid w:val="00672715"/>
    <w:rsid w:val="006A30DA"/>
    <w:rsid w:val="006D2161"/>
    <w:rsid w:val="007104DA"/>
    <w:rsid w:val="00795682"/>
    <w:rsid w:val="007C53E2"/>
    <w:rsid w:val="00846E76"/>
    <w:rsid w:val="008E721E"/>
    <w:rsid w:val="00983623"/>
    <w:rsid w:val="009A20DD"/>
    <w:rsid w:val="00A50382"/>
    <w:rsid w:val="00A95C5D"/>
    <w:rsid w:val="00B2491D"/>
    <w:rsid w:val="00B97BE9"/>
    <w:rsid w:val="00BC51F1"/>
    <w:rsid w:val="00C01054"/>
    <w:rsid w:val="00C27A13"/>
    <w:rsid w:val="00D37078"/>
    <w:rsid w:val="00D60836"/>
    <w:rsid w:val="00D66807"/>
    <w:rsid w:val="00E01B37"/>
    <w:rsid w:val="00F87178"/>
    <w:rsid w:val="00FC2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0D2B62E4"/>
  <w15:chartTrackingRefBased/>
  <w15:docId w15:val="{3B8D5A3D-774C-4FFF-B19A-DDF23B0F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8"/>
    <w:pPr>
      <w:spacing w:after="120" w:line="360" w:lineRule="auto"/>
    </w:pPr>
    <w:rPr>
      <w:rFonts w:ascii="Verdana" w:hAnsi="Verdana"/>
      <w:color w:val="000000"/>
      <w:sz w:val="22"/>
    </w:rPr>
  </w:style>
  <w:style w:type="paragraph" w:styleId="Heading1">
    <w:name w:val="heading 1"/>
    <w:basedOn w:val="Normal"/>
    <w:next w:val="Normal"/>
    <w:link w:val="Heading1Char"/>
    <w:uiPriority w:val="9"/>
    <w:rsid w:val="00136086"/>
    <w:pPr>
      <w:keepNext/>
      <w:keepLines/>
      <w:spacing w:before="360" w:after="80"/>
      <w:outlineLvl w:val="0"/>
    </w:pPr>
    <w:rPr>
      <w:rFonts w:asciiTheme="majorHAnsi" w:eastAsiaTheme="majorEastAsia" w:hAnsiTheme="majorHAnsi" w:cstheme="majorBidi"/>
      <w:color w:val="5469AF" w:themeColor="accent1" w:themeShade="BF"/>
      <w:sz w:val="40"/>
      <w:szCs w:val="40"/>
    </w:rPr>
  </w:style>
  <w:style w:type="paragraph" w:styleId="Heading2">
    <w:name w:val="heading 2"/>
    <w:basedOn w:val="Normal"/>
    <w:next w:val="Normal"/>
    <w:link w:val="Heading2Char"/>
    <w:uiPriority w:val="9"/>
    <w:semiHidden/>
    <w:unhideWhenUsed/>
    <w:rsid w:val="00136086"/>
    <w:pPr>
      <w:keepNext/>
      <w:keepLines/>
      <w:spacing w:before="160" w:after="80"/>
      <w:outlineLvl w:val="1"/>
    </w:pPr>
    <w:rPr>
      <w:rFonts w:asciiTheme="majorHAnsi" w:eastAsiaTheme="majorEastAsia" w:hAnsiTheme="majorHAnsi" w:cstheme="majorBidi"/>
      <w:color w:val="5469AF" w:themeColor="accent1" w:themeShade="BF"/>
      <w:sz w:val="32"/>
      <w:szCs w:val="32"/>
    </w:rPr>
  </w:style>
  <w:style w:type="paragraph" w:styleId="Heading3">
    <w:name w:val="heading 3"/>
    <w:basedOn w:val="Normal"/>
    <w:next w:val="Normal"/>
    <w:link w:val="Heading3Char"/>
    <w:uiPriority w:val="9"/>
    <w:semiHidden/>
    <w:unhideWhenUsed/>
    <w:qFormat/>
    <w:rsid w:val="00136086"/>
    <w:pPr>
      <w:keepNext/>
      <w:keepLines/>
      <w:spacing w:before="160" w:after="80"/>
      <w:outlineLvl w:val="2"/>
    </w:pPr>
    <w:rPr>
      <w:rFonts w:eastAsiaTheme="majorEastAsia" w:cstheme="majorBidi"/>
      <w:color w:val="5469AF" w:themeColor="accent1" w:themeShade="BF"/>
      <w:sz w:val="28"/>
      <w:szCs w:val="28"/>
    </w:rPr>
  </w:style>
  <w:style w:type="paragraph" w:styleId="Heading4">
    <w:name w:val="heading 4"/>
    <w:basedOn w:val="Normal"/>
    <w:next w:val="Normal"/>
    <w:link w:val="Heading4Char"/>
    <w:uiPriority w:val="9"/>
    <w:semiHidden/>
    <w:unhideWhenUsed/>
    <w:qFormat/>
    <w:rsid w:val="00136086"/>
    <w:pPr>
      <w:keepNext/>
      <w:keepLines/>
      <w:spacing w:before="80" w:after="40"/>
      <w:outlineLvl w:val="3"/>
    </w:pPr>
    <w:rPr>
      <w:rFonts w:eastAsiaTheme="majorEastAsia" w:cstheme="majorBidi"/>
      <w:i/>
      <w:iCs/>
      <w:color w:val="5469AF" w:themeColor="accent1" w:themeShade="BF"/>
    </w:rPr>
  </w:style>
  <w:style w:type="paragraph" w:styleId="Heading5">
    <w:name w:val="heading 5"/>
    <w:basedOn w:val="Normal"/>
    <w:next w:val="Normal"/>
    <w:link w:val="Heading5Char"/>
    <w:uiPriority w:val="9"/>
    <w:semiHidden/>
    <w:unhideWhenUsed/>
    <w:qFormat/>
    <w:rsid w:val="00136086"/>
    <w:pPr>
      <w:keepNext/>
      <w:keepLines/>
      <w:spacing w:before="80" w:after="40"/>
      <w:outlineLvl w:val="4"/>
    </w:pPr>
    <w:rPr>
      <w:rFonts w:eastAsiaTheme="majorEastAsia" w:cstheme="majorBidi"/>
      <w:color w:val="5469AF" w:themeColor="accent1" w:themeShade="BF"/>
    </w:rPr>
  </w:style>
  <w:style w:type="paragraph" w:styleId="Heading6">
    <w:name w:val="heading 6"/>
    <w:basedOn w:val="Normal"/>
    <w:next w:val="Normal"/>
    <w:link w:val="Heading6Char"/>
    <w:uiPriority w:val="9"/>
    <w:semiHidden/>
    <w:unhideWhenUsed/>
    <w:qFormat/>
    <w:rsid w:val="00136086"/>
    <w:pPr>
      <w:keepNext/>
      <w:keepLines/>
      <w:spacing w:before="40" w:after="0"/>
      <w:outlineLvl w:val="5"/>
    </w:pPr>
    <w:rPr>
      <w:rFonts w:eastAsiaTheme="majorEastAsia" w:cstheme="majorBidi"/>
      <w:i/>
      <w:iCs/>
      <w:color w:val="4E63A7" w:themeColor="text1" w:themeTint="A6"/>
    </w:rPr>
  </w:style>
  <w:style w:type="paragraph" w:styleId="Heading7">
    <w:name w:val="heading 7"/>
    <w:basedOn w:val="Normal"/>
    <w:next w:val="Normal"/>
    <w:link w:val="Heading7Char"/>
    <w:uiPriority w:val="9"/>
    <w:semiHidden/>
    <w:unhideWhenUsed/>
    <w:qFormat/>
    <w:rsid w:val="00136086"/>
    <w:pPr>
      <w:keepNext/>
      <w:keepLines/>
      <w:spacing w:before="40" w:after="0"/>
      <w:outlineLvl w:val="6"/>
    </w:pPr>
    <w:rPr>
      <w:rFonts w:eastAsiaTheme="majorEastAsia" w:cstheme="majorBidi"/>
      <w:color w:val="4E63A7" w:themeColor="text1" w:themeTint="A6"/>
    </w:rPr>
  </w:style>
  <w:style w:type="paragraph" w:styleId="Heading8">
    <w:name w:val="heading 8"/>
    <w:basedOn w:val="Normal"/>
    <w:next w:val="Normal"/>
    <w:link w:val="Heading8Char"/>
    <w:uiPriority w:val="9"/>
    <w:semiHidden/>
    <w:unhideWhenUsed/>
    <w:qFormat/>
    <w:rsid w:val="00136086"/>
    <w:pPr>
      <w:keepNext/>
      <w:keepLines/>
      <w:spacing w:after="0"/>
      <w:outlineLvl w:val="7"/>
    </w:pPr>
    <w:rPr>
      <w:rFonts w:eastAsiaTheme="majorEastAsia" w:cstheme="majorBidi"/>
      <w:i/>
      <w:iCs/>
      <w:color w:val="344371" w:themeColor="text1" w:themeTint="D8"/>
    </w:rPr>
  </w:style>
  <w:style w:type="paragraph" w:styleId="Heading9">
    <w:name w:val="heading 9"/>
    <w:basedOn w:val="Normal"/>
    <w:next w:val="Normal"/>
    <w:link w:val="Heading9Char"/>
    <w:uiPriority w:val="9"/>
    <w:semiHidden/>
    <w:unhideWhenUsed/>
    <w:qFormat/>
    <w:rsid w:val="00136086"/>
    <w:pPr>
      <w:keepNext/>
      <w:keepLines/>
      <w:spacing w:after="0"/>
      <w:outlineLvl w:val="8"/>
    </w:pPr>
    <w:rPr>
      <w:rFonts w:eastAsiaTheme="majorEastAsia" w:cstheme="majorBidi"/>
      <w:color w:val="34437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086"/>
    <w:rPr>
      <w:rFonts w:asciiTheme="majorHAnsi" w:eastAsiaTheme="majorEastAsia" w:hAnsiTheme="majorHAnsi" w:cstheme="majorBidi"/>
      <w:color w:val="5469AF" w:themeColor="accent1" w:themeShade="BF"/>
      <w:sz w:val="40"/>
      <w:szCs w:val="40"/>
    </w:rPr>
  </w:style>
  <w:style w:type="character" w:customStyle="1" w:styleId="Heading2Char">
    <w:name w:val="Heading 2 Char"/>
    <w:basedOn w:val="DefaultParagraphFont"/>
    <w:link w:val="Heading2"/>
    <w:uiPriority w:val="9"/>
    <w:semiHidden/>
    <w:rsid w:val="00136086"/>
    <w:rPr>
      <w:rFonts w:asciiTheme="majorHAnsi" w:eastAsiaTheme="majorEastAsia" w:hAnsiTheme="majorHAnsi" w:cstheme="majorBidi"/>
      <w:color w:val="5469AF" w:themeColor="accent1" w:themeShade="BF"/>
      <w:sz w:val="32"/>
      <w:szCs w:val="32"/>
    </w:rPr>
  </w:style>
  <w:style w:type="character" w:customStyle="1" w:styleId="Heading3Char">
    <w:name w:val="Heading 3 Char"/>
    <w:basedOn w:val="DefaultParagraphFont"/>
    <w:link w:val="Heading3"/>
    <w:uiPriority w:val="9"/>
    <w:semiHidden/>
    <w:rsid w:val="00136086"/>
    <w:rPr>
      <w:rFonts w:eastAsiaTheme="majorEastAsia" w:cstheme="majorBidi"/>
      <w:color w:val="5469AF" w:themeColor="accent1" w:themeShade="BF"/>
      <w:sz w:val="28"/>
      <w:szCs w:val="28"/>
    </w:rPr>
  </w:style>
  <w:style w:type="character" w:customStyle="1" w:styleId="Heading4Char">
    <w:name w:val="Heading 4 Char"/>
    <w:basedOn w:val="DefaultParagraphFont"/>
    <w:link w:val="Heading4"/>
    <w:uiPriority w:val="9"/>
    <w:semiHidden/>
    <w:rsid w:val="00136086"/>
    <w:rPr>
      <w:rFonts w:eastAsiaTheme="majorEastAsia" w:cstheme="majorBidi"/>
      <w:i/>
      <w:iCs/>
      <w:color w:val="5469AF" w:themeColor="accent1" w:themeShade="BF"/>
    </w:rPr>
  </w:style>
  <w:style w:type="character" w:customStyle="1" w:styleId="Heading5Char">
    <w:name w:val="Heading 5 Char"/>
    <w:basedOn w:val="DefaultParagraphFont"/>
    <w:link w:val="Heading5"/>
    <w:uiPriority w:val="9"/>
    <w:semiHidden/>
    <w:rsid w:val="00136086"/>
    <w:rPr>
      <w:rFonts w:eastAsiaTheme="majorEastAsia" w:cstheme="majorBidi"/>
      <w:color w:val="5469AF" w:themeColor="accent1" w:themeShade="BF"/>
    </w:rPr>
  </w:style>
  <w:style w:type="character" w:customStyle="1" w:styleId="Heading6Char">
    <w:name w:val="Heading 6 Char"/>
    <w:basedOn w:val="DefaultParagraphFont"/>
    <w:link w:val="Heading6"/>
    <w:uiPriority w:val="9"/>
    <w:semiHidden/>
    <w:rsid w:val="00136086"/>
    <w:rPr>
      <w:rFonts w:eastAsiaTheme="majorEastAsia" w:cstheme="majorBidi"/>
      <w:i/>
      <w:iCs/>
      <w:color w:val="4E63A7" w:themeColor="text1" w:themeTint="A6"/>
    </w:rPr>
  </w:style>
  <w:style w:type="character" w:customStyle="1" w:styleId="Heading7Char">
    <w:name w:val="Heading 7 Char"/>
    <w:basedOn w:val="DefaultParagraphFont"/>
    <w:link w:val="Heading7"/>
    <w:uiPriority w:val="9"/>
    <w:semiHidden/>
    <w:rsid w:val="00136086"/>
    <w:rPr>
      <w:rFonts w:eastAsiaTheme="majorEastAsia" w:cstheme="majorBidi"/>
      <w:color w:val="4E63A7" w:themeColor="text1" w:themeTint="A6"/>
    </w:rPr>
  </w:style>
  <w:style w:type="character" w:customStyle="1" w:styleId="Heading8Char">
    <w:name w:val="Heading 8 Char"/>
    <w:basedOn w:val="DefaultParagraphFont"/>
    <w:link w:val="Heading8"/>
    <w:uiPriority w:val="9"/>
    <w:semiHidden/>
    <w:rsid w:val="00136086"/>
    <w:rPr>
      <w:rFonts w:eastAsiaTheme="majorEastAsia" w:cstheme="majorBidi"/>
      <w:i/>
      <w:iCs/>
      <w:color w:val="344371" w:themeColor="text1" w:themeTint="D8"/>
    </w:rPr>
  </w:style>
  <w:style w:type="character" w:customStyle="1" w:styleId="Heading9Char">
    <w:name w:val="Heading 9 Char"/>
    <w:basedOn w:val="DefaultParagraphFont"/>
    <w:link w:val="Heading9"/>
    <w:uiPriority w:val="9"/>
    <w:semiHidden/>
    <w:rsid w:val="00136086"/>
    <w:rPr>
      <w:rFonts w:eastAsiaTheme="majorEastAsia" w:cstheme="majorBidi"/>
      <w:color w:val="344371" w:themeColor="text1" w:themeTint="D8"/>
    </w:rPr>
  </w:style>
  <w:style w:type="paragraph" w:styleId="Title">
    <w:name w:val="Title"/>
    <w:basedOn w:val="Normal"/>
    <w:next w:val="Normal"/>
    <w:link w:val="TitleChar"/>
    <w:uiPriority w:val="10"/>
    <w:qFormat/>
    <w:rsid w:val="00A95C5D"/>
    <w:pPr>
      <w:spacing w:after="240"/>
      <w:contextualSpacing/>
    </w:pPr>
    <w:rPr>
      <w:rFonts w:eastAsiaTheme="majorEastAsia" w:cstheme="majorBidi"/>
      <w:b/>
      <w:color w:val="212A47"/>
      <w:spacing w:val="-10"/>
      <w:kern w:val="28"/>
      <w:sz w:val="48"/>
      <w:szCs w:val="48"/>
    </w:rPr>
  </w:style>
  <w:style w:type="character" w:customStyle="1" w:styleId="TitleChar">
    <w:name w:val="Title Char"/>
    <w:basedOn w:val="DefaultParagraphFont"/>
    <w:link w:val="Title"/>
    <w:uiPriority w:val="10"/>
    <w:rsid w:val="00A95C5D"/>
    <w:rPr>
      <w:rFonts w:ascii="Verdana" w:eastAsiaTheme="majorEastAsia" w:hAnsi="Verdana" w:cstheme="majorBidi"/>
      <w:b/>
      <w:color w:val="212A47"/>
      <w:spacing w:val="-10"/>
      <w:kern w:val="28"/>
      <w:sz w:val="48"/>
      <w:szCs w:val="48"/>
    </w:rPr>
  </w:style>
  <w:style w:type="paragraph" w:styleId="Subtitle">
    <w:name w:val="Subtitle"/>
    <w:basedOn w:val="Normal"/>
    <w:next w:val="Normal"/>
    <w:link w:val="SubtitleChar"/>
    <w:uiPriority w:val="11"/>
    <w:qFormat/>
    <w:rsid w:val="00A95C5D"/>
    <w:pPr>
      <w:numPr>
        <w:ilvl w:val="1"/>
      </w:numPr>
      <w:spacing w:before="240"/>
    </w:pPr>
    <w:rPr>
      <w:rFonts w:eastAsiaTheme="majorEastAsia" w:cstheme="majorBidi"/>
      <w:b/>
      <w:color w:val="212A47" w:themeColor="text1"/>
      <w:spacing w:val="15"/>
      <w:sz w:val="28"/>
      <w:szCs w:val="22"/>
    </w:rPr>
  </w:style>
  <w:style w:type="character" w:customStyle="1" w:styleId="SubtitleChar">
    <w:name w:val="Subtitle Char"/>
    <w:basedOn w:val="DefaultParagraphFont"/>
    <w:link w:val="Subtitle"/>
    <w:uiPriority w:val="11"/>
    <w:rsid w:val="00A95C5D"/>
    <w:rPr>
      <w:rFonts w:ascii="Verdana" w:eastAsiaTheme="majorEastAsia" w:hAnsi="Verdana" w:cstheme="majorBidi"/>
      <w:b/>
      <w:color w:val="212A47" w:themeColor="text1"/>
      <w:spacing w:val="15"/>
      <w:sz w:val="28"/>
      <w:szCs w:val="22"/>
    </w:rPr>
  </w:style>
  <w:style w:type="paragraph" w:styleId="Quote">
    <w:name w:val="Quote"/>
    <w:basedOn w:val="Normal"/>
    <w:next w:val="Normal"/>
    <w:link w:val="QuoteChar"/>
    <w:uiPriority w:val="29"/>
    <w:qFormat/>
    <w:rsid w:val="00D66807"/>
    <w:pPr>
      <w:pBdr>
        <w:left w:val="single" w:sz="24" w:space="4" w:color="B49755" w:themeColor="background1"/>
      </w:pBdr>
      <w:spacing w:before="240" w:after="240"/>
      <w:ind w:left="567"/>
      <w:contextualSpacing/>
      <w:jc w:val="center"/>
    </w:pPr>
    <w:rPr>
      <w:i/>
      <w:iCs/>
      <w:color w:val="212A47" w:themeColor="text1"/>
      <w:sz w:val="24"/>
    </w:rPr>
  </w:style>
  <w:style w:type="character" w:customStyle="1" w:styleId="QuoteChar">
    <w:name w:val="Quote Char"/>
    <w:basedOn w:val="DefaultParagraphFont"/>
    <w:link w:val="Quote"/>
    <w:uiPriority w:val="29"/>
    <w:rsid w:val="00D66807"/>
    <w:rPr>
      <w:rFonts w:ascii="Verdana" w:hAnsi="Verdana"/>
      <w:i/>
      <w:iCs/>
      <w:color w:val="212A47" w:themeColor="text1"/>
    </w:rPr>
  </w:style>
  <w:style w:type="paragraph" w:styleId="ListParagraph">
    <w:name w:val="List Paragraph"/>
    <w:basedOn w:val="Normal"/>
    <w:uiPriority w:val="34"/>
    <w:qFormat/>
    <w:rsid w:val="00136086"/>
    <w:pPr>
      <w:ind w:left="720"/>
      <w:contextualSpacing/>
    </w:pPr>
  </w:style>
  <w:style w:type="character" w:styleId="IntenseEmphasis">
    <w:name w:val="Intense Emphasis"/>
    <w:basedOn w:val="DefaultParagraphFont"/>
    <w:uiPriority w:val="21"/>
    <w:rsid w:val="00136086"/>
    <w:rPr>
      <w:i/>
      <w:iCs/>
      <w:color w:val="5469AF" w:themeColor="accent1" w:themeShade="BF"/>
    </w:rPr>
  </w:style>
  <w:style w:type="character" w:styleId="Strong">
    <w:name w:val="Strong"/>
    <w:basedOn w:val="DefaultParagraphFont"/>
    <w:uiPriority w:val="22"/>
    <w:qFormat/>
    <w:rsid w:val="00D66807"/>
    <w:rPr>
      <w:rFonts w:ascii="Verdana" w:hAnsi="Verdana"/>
      <w:b/>
      <w:bCs/>
      <w:sz w:val="22"/>
    </w:rPr>
  </w:style>
  <w:style w:type="paragraph" w:customStyle="1" w:styleId="SubsectionHeading">
    <w:name w:val="Subsection Heading"/>
    <w:basedOn w:val="SectionHeading"/>
    <w:qFormat/>
    <w:rsid w:val="00D66807"/>
    <w:pPr>
      <w:spacing w:before="200"/>
    </w:pPr>
    <w:rPr>
      <w:color w:val="212A47" w:themeColor="text1"/>
      <w:sz w:val="24"/>
    </w:rPr>
  </w:style>
  <w:style w:type="paragraph" w:customStyle="1" w:styleId="BulletList">
    <w:name w:val="Bullet List"/>
    <w:basedOn w:val="Normal"/>
    <w:next w:val="Normal"/>
    <w:qFormat/>
    <w:rsid w:val="00361F85"/>
    <w:pPr>
      <w:numPr>
        <w:numId w:val="1"/>
      </w:numPr>
      <w:ind w:left="641" w:hanging="357"/>
      <w:contextualSpacing/>
    </w:pPr>
  </w:style>
  <w:style w:type="paragraph" w:customStyle="1" w:styleId="SectionHeading">
    <w:name w:val="Section Heading"/>
    <w:basedOn w:val="Normal"/>
    <w:qFormat/>
    <w:rsid w:val="00D66807"/>
    <w:pPr>
      <w:spacing w:before="240"/>
    </w:pPr>
    <w:rPr>
      <w:b/>
      <w:color w:val="B49755" w:themeColor="background1"/>
      <w:sz w:val="28"/>
    </w:rPr>
  </w:style>
  <w:style w:type="paragraph" w:styleId="Header">
    <w:name w:val="header"/>
    <w:basedOn w:val="Normal"/>
    <w:link w:val="HeaderChar"/>
    <w:uiPriority w:val="99"/>
    <w:unhideWhenUsed/>
    <w:rsid w:val="004C7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09E"/>
    <w:rPr>
      <w:rFonts w:ascii="Verdana" w:hAnsi="Verdana"/>
      <w:color w:val="000000"/>
      <w:sz w:val="22"/>
    </w:rPr>
  </w:style>
  <w:style w:type="paragraph" w:styleId="Footer">
    <w:name w:val="footer"/>
    <w:basedOn w:val="Normal"/>
    <w:link w:val="FooterChar"/>
    <w:uiPriority w:val="99"/>
    <w:unhideWhenUsed/>
    <w:rsid w:val="004C7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09E"/>
    <w:rPr>
      <w:rFonts w:ascii="Verdana" w:hAnsi="Verdana"/>
      <w:color w:val="000000"/>
      <w:sz w:val="22"/>
    </w:rPr>
  </w:style>
  <w:style w:type="table" w:styleId="TableGrid">
    <w:name w:val="Table Grid"/>
    <w:basedOn w:val="TableNormal"/>
    <w:uiPriority w:val="39"/>
    <w:rsid w:val="004C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lentMatchedcomTable">
    <w:name w:val="TalentMatched.com Table"/>
    <w:basedOn w:val="TableNormal"/>
    <w:uiPriority w:val="99"/>
    <w:rsid w:val="008E721E"/>
    <w:pPr>
      <w:spacing w:after="0" w:line="240" w:lineRule="auto"/>
    </w:pPr>
    <w:tblPr>
      <w:tblStyleRowBandSize w:val="1"/>
    </w:tblPr>
    <w:tblStylePr w:type="firstRow">
      <w:rPr>
        <w:rFonts w:ascii="Verdana" w:hAnsi="Verdana"/>
        <w:sz w:val="22"/>
      </w:rPr>
    </w:tblStylePr>
    <w:tblStylePr w:type="band1Horz">
      <w:rPr>
        <w:rFonts w:ascii="Verdana" w:hAnsi="Verdana"/>
        <w:sz w:val="22"/>
      </w:rPr>
      <w:tblPr/>
      <w:tcPr>
        <w:shd w:val="clear" w:color="auto" w:fill="F0F1F0" w:themeFill="background2"/>
      </w:tcPr>
    </w:tblStylePr>
  </w:style>
  <w:style w:type="table" w:customStyle="1" w:styleId="TalentMatchedcom">
    <w:name w:val="TalentMatched.com"/>
    <w:basedOn w:val="TableNormal"/>
    <w:uiPriority w:val="99"/>
    <w:rsid w:val="00194598"/>
    <w:pPr>
      <w:spacing w:before="120" w:after="0" w:line="240" w:lineRule="auto"/>
    </w:pPr>
    <w:tblPr>
      <w:tblStyleRowBandSize w:val="1"/>
    </w:tblPr>
    <w:tblStylePr w:type="firstRow">
      <w:rPr>
        <w:rFonts w:ascii="Verdana" w:hAnsi="Verdana"/>
        <w:b/>
        <w:color w:val="F0F1F0" w:themeColor="background2"/>
        <w:sz w:val="22"/>
      </w:rPr>
      <w:tblPr/>
      <w:tcPr>
        <w:shd w:val="clear" w:color="auto" w:fill="212A47" w:themeFill="text1"/>
      </w:tcPr>
    </w:tblStylePr>
    <w:tblStylePr w:type="band1Horz">
      <w:rPr>
        <w:rFonts w:ascii="Verdana" w:hAnsi="Verdana"/>
        <w:color w:val="212A47" w:themeColor="text1"/>
        <w:sz w:val="22"/>
      </w:rPr>
      <w:tblPr/>
      <w:tcPr>
        <w:shd w:val="clear" w:color="auto" w:fill="F0F1F0" w:themeFill="background2"/>
      </w:tcPr>
    </w:tblStylePr>
  </w:style>
  <w:style w:type="paragraph" w:styleId="NoSpacing">
    <w:name w:val="No Spacing"/>
    <w:link w:val="NoSpacingChar"/>
    <w:uiPriority w:val="1"/>
    <w:qFormat/>
    <w:rsid w:val="000828D1"/>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0828D1"/>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2377">
      <w:bodyDiv w:val="1"/>
      <w:marLeft w:val="0"/>
      <w:marRight w:val="0"/>
      <w:marTop w:val="0"/>
      <w:marBottom w:val="0"/>
      <w:divBdr>
        <w:top w:val="none" w:sz="0" w:space="0" w:color="auto"/>
        <w:left w:val="none" w:sz="0" w:space="0" w:color="auto"/>
        <w:bottom w:val="none" w:sz="0" w:space="0" w:color="auto"/>
        <w:right w:val="none" w:sz="0" w:space="0" w:color="auto"/>
      </w:divBdr>
    </w:div>
    <w:div w:id="21127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thanHobday\Documents\Custom%20Office%20Templates\TalentMatched.com.dotx" TargetMode="External"/></Relationships>
</file>

<file path=word/theme/theme1.xml><?xml version="1.0" encoding="utf-8"?>
<a:theme xmlns:a="http://schemas.openxmlformats.org/drawingml/2006/main" name="Office Theme">
  <a:themeElements>
    <a:clrScheme name="TalentMatched.com">
      <a:dk1>
        <a:srgbClr val="212A47"/>
      </a:dk1>
      <a:lt1>
        <a:srgbClr val="B49755"/>
      </a:lt1>
      <a:dk2>
        <a:srgbClr val="086B92"/>
      </a:dk2>
      <a:lt2>
        <a:srgbClr val="F0F1F0"/>
      </a:lt2>
      <a:accent1>
        <a:srgbClr val="909ECB"/>
      </a:accent1>
      <a:accent2>
        <a:srgbClr val="E5D4C0"/>
      </a:accent2>
      <a:accent3>
        <a:srgbClr val="B1B6B1"/>
      </a:accent3>
      <a:accent4>
        <a:srgbClr val="B9DCE6"/>
      </a:accent4>
      <a:accent5>
        <a:srgbClr val="086B92"/>
      </a:accent5>
      <a:accent6>
        <a:srgbClr val="812529"/>
      </a:accent6>
      <a:hlink>
        <a:srgbClr val="0066FF"/>
      </a:hlink>
      <a:folHlink>
        <a:srgbClr val="47763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D7DE07805BB43ABBDA71ECBC63F1F" ma:contentTypeVersion="11" ma:contentTypeDescription="Create a new document." ma:contentTypeScope="" ma:versionID="34e55ceffbe291fc0fda3a13a07f77a3">
  <xsd:schema xmlns:xsd="http://www.w3.org/2001/XMLSchema" xmlns:xs="http://www.w3.org/2001/XMLSchema" xmlns:p="http://schemas.microsoft.com/office/2006/metadata/properties" xmlns:ns2="8fd90478-1b5f-4546-98f2-8ce6ee3cf0d7" xmlns:ns3="bec4ca29-3c12-402c-aede-48227da1c2e7" targetNamespace="http://schemas.microsoft.com/office/2006/metadata/properties" ma:root="true" ma:fieldsID="2a01f6c2fb36371c338ceda58f2efdb4" ns2:_="" ns3:_="">
    <xsd:import namespace="8fd90478-1b5f-4546-98f2-8ce6ee3cf0d7"/>
    <xsd:import namespace="bec4ca29-3c12-402c-aede-48227da1c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90478-1b5f-4546-98f2-8ce6ee3c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22248a-8dd8-4e73-95a6-fac2cc26bb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c4ca29-3c12-402c-aede-48227da1c2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2b36750-4177-48d2-a22f-bccbb30a58e5}" ma:internalName="TaxCatchAll" ma:showField="CatchAllData" ma:web="bec4ca29-3c12-402c-aede-48227da1c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d90478-1b5f-4546-98f2-8ce6ee3cf0d7">
      <Terms xmlns="http://schemas.microsoft.com/office/infopath/2007/PartnerControls"/>
    </lcf76f155ced4ddcb4097134ff3c332f>
    <TaxCatchAll xmlns="bec4ca29-3c12-402c-aede-48227da1c2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F177-94BD-48DF-8FCB-614DE02CC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90478-1b5f-4546-98f2-8ce6ee3cf0d7"/>
    <ds:schemaRef ds:uri="bec4ca29-3c12-402c-aede-48227da1c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05BA0-A20E-4B3E-81F4-E967328B4A8C}">
  <ds:schemaRefs>
    <ds:schemaRef ds:uri="http://schemas.microsoft.com/sharepoint/v3/contenttype/forms"/>
  </ds:schemaRefs>
</ds:datastoreItem>
</file>

<file path=customXml/itemProps3.xml><?xml version="1.0" encoding="utf-8"?>
<ds:datastoreItem xmlns:ds="http://schemas.openxmlformats.org/officeDocument/2006/customXml" ds:itemID="{D0A4B106-3768-40CC-94CB-57977B2157E0}">
  <ds:schemaRefs>
    <ds:schemaRef ds:uri="http://schemas.microsoft.com/office/2006/metadata/properties"/>
    <ds:schemaRef ds:uri="http://schemas.microsoft.com/office/infopath/2007/PartnerControls"/>
    <ds:schemaRef ds:uri="8fd90478-1b5f-4546-98f2-8ce6ee3cf0d7"/>
    <ds:schemaRef ds:uri="bec4ca29-3c12-402c-aede-48227da1c2e7"/>
  </ds:schemaRefs>
</ds:datastoreItem>
</file>

<file path=customXml/itemProps4.xml><?xml version="1.0" encoding="utf-8"?>
<ds:datastoreItem xmlns:ds="http://schemas.openxmlformats.org/officeDocument/2006/customXml" ds:itemID="{2385F6BF-02F2-436F-AF83-ADC53CBD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TalentMatched.com.dotx</Template>
  <TotalTime>10</TotalTime>
  <Pages>17</Pages>
  <Words>2043</Words>
  <Characters>12343</Characters>
  <Application>Microsoft Office Word</Application>
  <DocSecurity>0</DocSecurity>
  <Lines>205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Hobday</dc:creator>
  <cp:keywords/>
  <dc:description/>
  <cp:lastModifiedBy>Jonathan</cp:lastModifiedBy>
  <cp:revision>5</cp:revision>
  <dcterms:created xsi:type="dcterms:W3CDTF">2025-10-04T10:36:00Z</dcterms:created>
  <dcterms:modified xsi:type="dcterms:W3CDTF">2025-10-14T14:28:00Z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0x010100F7BD7DE07805BB43ABBDA71ECBC63F1F</vt:lpwstr>
  </property>
  <property fmtid="{D5CDD505-2E9C-101B-9397-08002B2CF9AE}" pid="3" name="MediaServiceImageTags">
    <vt:lpwstr/>
  </property>
</Properties>
</file>